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DCF3" w14:textId="77777777" w:rsidR="001244CD" w:rsidRPr="001244CD" w:rsidRDefault="001244CD" w:rsidP="001244CD">
      <w:pPr>
        <w:spacing w:after="120"/>
        <w:jc w:val="center"/>
        <w:rPr>
          <w:rFonts w:ascii="Montserrat" w:hAnsi="Montserrat"/>
          <w:b/>
          <w:bCs/>
          <w:color w:val="00405A"/>
          <w:sz w:val="34"/>
          <w:szCs w:val="34"/>
        </w:rPr>
      </w:pPr>
    </w:p>
    <w:p w14:paraId="03314FAA" w14:textId="77777777" w:rsidR="001244CD" w:rsidRPr="001244CD" w:rsidRDefault="001244CD" w:rsidP="001244CD">
      <w:pPr>
        <w:spacing w:after="120"/>
        <w:jc w:val="center"/>
        <w:rPr>
          <w:rFonts w:ascii="Montserrat" w:hAnsi="Montserrat"/>
          <w:color w:val="00405A"/>
        </w:rPr>
      </w:pPr>
      <w:r w:rsidRPr="001244CD">
        <w:rPr>
          <w:rFonts w:ascii="Montserrat" w:hAnsi="Montserrat"/>
          <w:b/>
          <w:bCs/>
          <w:color w:val="00405A"/>
          <w:sz w:val="34"/>
          <w:szCs w:val="34"/>
        </w:rPr>
        <w:t>POLITIKA ZAŠTITE OSOBNIH PODATAKA</w:t>
      </w:r>
    </w:p>
    <w:p w14:paraId="15C9EA21" w14:textId="77777777" w:rsidR="001244CD" w:rsidRPr="001244CD" w:rsidRDefault="001244CD" w:rsidP="001244CD">
      <w:pPr>
        <w:spacing w:after="120"/>
        <w:jc w:val="both"/>
        <w:rPr>
          <w:rFonts w:ascii="Montserrat" w:hAnsi="Montserrat"/>
        </w:rPr>
      </w:pPr>
    </w:p>
    <w:p w14:paraId="3381A812" w14:textId="77777777" w:rsidR="00221ED1" w:rsidRPr="001244CD" w:rsidRDefault="00221ED1">
      <w:pPr>
        <w:spacing w:after="100"/>
        <w:rPr>
          <w:rFonts w:ascii="Montserrat" w:hAnsi="Montserrat"/>
        </w:rPr>
      </w:pPr>
    </w:p>
    <w:p w14:paraId="10197A75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Tvrtka: </w:t>
      </w:r>
      <w:r w:rsidRPr="001244CD">
        <w:rPr>
          <w:rFonts w:ascii="Montserrat" w:hAnsi="Montserrat"/>
          <w:color w:val="1A1A1A"/>
        </w:rPr>
        <w:t>Pro zastupanje (vl. Vjeko Peretić)</w:t>
      </w:r>
    </w:p>
    <w:p w14:paraId="3C7B8BA8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OIB: </w:t>
      </w:r>
      <w:r w:rsidRPr="001244CD">
        <w:rPr>
          <w:rFonts w:ascii="Montserrat" w:hAnsi="Montserrat"/>
          <w:color w:val="1A1A1A"/>
        </w:rPr>
        <w:t>72590527928</w:t>
      </w:r>
    </w:p>
    <w:p w14:paraId="6AA98BDD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Adresa: </w:t>
      </w:r>
      <w:r w:rsidRPr="001244CD">
        <w:rPr>
          <w:rFonts w:ascii="Montserrat" w:hAnsi="Montserrat"/>
          <w:color w:val="1A1A1A"/>
        </w:rPr>
        <w:t>Gorjanovićeva 62, Zagreb</w:t>
      </w:r>
    </w:p>
    <w:p w14:paraId="05678357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Verzija: </w:t>
      </w:r>
      <w:r w:rsidRPr="001244CD">
        <w:rPr>
          <w:rFonts w:ascii="Montserrat" w:hAnsi="Montserrat"/>
          <w:color w:val="1A1A1A"/>
        </w:rPr>
        <w:t>3.0</w:t>
      </w:r>
    </w:p>
    <w:p w14:paraId="6F266337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Datum: </w:t>
      </w:r>
      <w:r w:rsidRPr="001244CD">
        <w:rPr>
          <w:rFonts w:ascii="Montserrat" w:hAnsi="Montserrat"/>
          <w:color w:val="1A1A1A"/>
        </w:rPr>
        <w:t>15. 03. 2026.</w:t>
      </w:r>
    </w:p>
    <w:p w14:paraId="2EB9212E" w14:textId="5018456D" w:rsidR="00221ED1" w:rsidRPr="001244CD" w:rsidRDefault="00000000" w:rsidP="00945C43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Vlasnik dokumenta: </w:t>
      </w:r>
      <w:r w:rsidRPr="001244CD">
        <w:rPr>
          <w:rFonts w:ascii="Montserrat" w:hAnsi="Montserrat"/>
          <w:color w:val="1A1A1A"/>
        </w:rPr>
        <w:t>DPO</w:t>
      </w:r>
    </w:p>
    <w:p w14:paraId="0F3AA048" w14:textId="77777777" w:rsidR="00221ED1" w:rsidRPr="001244CD" w:rsidRDefault="00000000">
      <w:pPr>
        <w:spacing w:before="60" w:after="60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Klasifikacija: </w:t>
      </w:r>
      <w:r w:rsidRPr="001244CD">
        <w:rPr>
          <w:rFonts w:ascii="Montserrat" w:hAnsi="Montserrat"/>
          <w:color w:val="1A1A1A"/>
        </w:rPr>
        <w:t>Interno</w:t>
      </w:r>
    </w:p>
    <w:p w14:paraId="20716F1F" w14:textId="2C7C7D11" w:rsidR="001244CD" w:rsidRDefault="00000000" w:rsidP="001244CD">
      <w:pPr>
        <w:spacing w:before="60" w:after="60"/>
        <w:rPr>
          <w:rFonts w:ascii="Montserrat" w:hAnsi="Montserrat"/>
          <w:color w:val="1A1A1A"/>
        </w:rPr>
      </w:pPr>
      <w:r w:rsidRPr="001244CD">
        <w:rPr>
          <w:rFonts w:ascii="Montserrat" w:hAnsi="Montserrat"/>
          <w:b/>
          <w:bCs/>
          <w:color w:val="1A3A5C"/>
        </w:rPr>
        <w:t xml:space="preserve">Status: </w:t>
      </w:r>
      <w:r w:rsidRPr="001244CD">
        <w:rPr>
          <w:rFonts w:ascii="Montserrat" w:hAnsi="Montserrat"/>
          <w:color w:val="1A1A1A"/>
        </w:rPr>
        <w:t>Na snazi</w:t>
      </w:r>
    </w:p>
    <w:p w14:paraId="119058C3" w14:textId="77777777" w:rsidR="001244CD" w:rsidRDefault="001244CD" w:rsidP="001244CD">
      <w:pPr>
        <w:spacing w:before="60" w:after="60"/>
        <w:rPr>
          <w:rFonts w:ascii="Montserrat" w:hAnsi="Montserrat"/>
        </w:rPr>
      </w:pPr>
    </w:p>
    <w:p w14:paraId="66463E01" w14:textId="77777777" w:rsidR="001244CD" w:rsidRDefault="001244CD" w:rsidP="001244CD">
      <w:pPr>
        <w:spacing w:before="60" w:after="60"/>
        <w:rPr>
          <w:rFonts w:ascii="Montserrat" w:hAnsi="Montserrat"/>
        </w:rPr>
      </w:pPr>
    </w:p>
    <w:p w14:paraId="058E038D" w14:textId="3219BCEC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1. Uvodne napomene</w:t>
      </w:r>
    </w:p>
    <w:p w14:paraId="342AED7F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Pro zastupanje (vl. Vjeko Peretić) (dalje u tekstu: Društvo) posluje pod zajedničkim komercijalnim brendom Fintastic zajedno s povezanim subjektima Pro savjetovanje d.o.o., Pro intermedius d.o.o. i Pro zastupanje (vl. Vjeko Peretić). Društvo je ovlašteni zastupnik u osiguranju, reguliran od strane HANFA-e.</w:t>
      </w:r>
    </w:p>
    <w:p w14:paraId="6DE60098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Ova Politika usvojena je sukladno čl. 24. st. 2. GDPR-a i utvrđuje obvezna pravila, standarde i postupke obrade osobnih podataka u Društvu. Sastavni dio ove Politike je Evidencija aktivnosti obrade osobnih podataka (RoPA).</w:t>
      </w:r>
    </w:p>
    <w:p w14:paraId="2BB1B0CB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 zajedničke aktivnosti obrade svih subjekata Fintastic grupe (web platforma, CRM, marketing) primjenjuje se Sporazum o zajedničkom upravljanju osobnim podacima (FIN-JCA-001) koji je sastavni dio ove Politike.</w:t>
      </w:r>
    </w:p>
    <w:p w14:paraId="5AD83309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6B6B6B"/>
        </w:rPr>
        <w:t>Ova Politika stupa na snagu danom donošenja i objavljuje se na oglasnoj ploči Društva.</w:t>
      </w:r>
    </w:p>
    <w:p w14:paraId="332AD190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CB64D5E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2. Definicije</w:t>
      </w:r>
    </w:p>
    <w:p w14:paraId="48C2D0A3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U ovoj Politici pojmovi imaju značenje sukladno GDPR-u. Ključni pojmovi:</w:t>
      </w:r>
    </w:p>
    <w:p w14:paraId="74CACD9C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Osobni podaci – svaka informacija koja se odnosi na identificiranu ili odredljivu fizičku osobu</w:t>
      </w:r>
    </w:p>
    <w:p w14:paraId="233ED60E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Ispitanik – fizička osoba čiji se osobni podaci obrađuju</w:t>
      </w:r>
    </w:p>
    <w:p w14:paraId="3CA69EA5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Voditelj obrade – pravna osoba koja određuje svrhe i sredstva obrade</w:t>
      </w:r>
    </w:p>
    <w:p w14:paraId="5F20E553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Izvršitelj obrade – pravna osoba koja obrađuje podatke u ime voditelja</w:t>
      </w:r>
    </w:p>
    <w:p w14:paraId="0C0A82A3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Zajednički voditelji obrade – dva ili više voditelja koji zajednički određuju svrhe i sredstva obrade</w:t>
      </w:r>
    </w:p>
    <w:p w14:paraId="0A4266C2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Obrada – svaki postupak koji se provodi na osobnim podacima</w:t>
      </w:r>
    </w:p>
    <w:p w14:paraId="306CD527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lastRenderedPageBreak/>
        <w:t>Povreda osobnih podataka – povreda sigurnosti koja dovodi do slučajnog ili nezakonitog uništenja, gubitka, izmjene, neovlaštenog otkrivanja ili pristupa podacima</w:t>
      </w:r>
    </w:p>
    <w:p w14:paraId="5A3A073E" w14:textId="77777777" w:rsidR="00221ED1" w:rsidRPr="001244CD" w:rsidRDefault="00000000" w:rsidP="001244CD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DPO – Službenik za zaštitu podataka</w:t>
      </w:r>
    </w:p>
    <w:p w14:paraId="7F34B9B3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24C5029D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3. Načela obrade osobnih podataka</w:t>
      </w:r>
    </w:p>
    <w:p w14:paraId="3501FACE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obrađuje osobne podatke u skladu sa svim načelima iz čl. 5. GDPR-a:</w:t>
      </w:r>
    </w:p>
    <w:p w14:paraId="27FF8C66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Zakonitost, poštenost i transparentnost – obrada samo uz pravnu osnovu i uz informiranje ispitanika</w:t>
      </w:r>
    </w:p>
    <w:p w14:paraId="11B9FD8C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Ograničenje svrhe – podaci se prikupljaju za određene, izričite i zakonite svrhe te se ne obrađuju izvan tih svrha</w:t>
      </w:r>
    </w:p>
    <w:p w14:paraId="2740AB31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Minimizacija podataka – prikupljaju se samo podaci nužni za ostvarenje svrhe</w:t>
      </w:r>
    </w:p>
    <w:p w14:paraId="76F44DA4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Točnost – podaci moraju biti točni i prema potrebi ažurni</w:t>
      </w:r>
    </w:p>
    <w:p w14:paraId="15537A6D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Ograničenje pohrane – podaci se čuvaju samo onoliko dugo koliko je nužno</w:t>
      </w:r>
    </w:p>
    <w:p w14:paraId="3E8C6603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Cjelovitost i povjerljivost – primjena odgovarajućih tehničkih i organizacijskih mjera zaštite</w:t>
      </w:r>
    </w:p>
    <w:p w14:paraId="2B3266B2" w14:textId="77777777" w:rsidR="00221ED1" w:rsidRPr="001244CD" w:rsidRDefault="00000000" w:rsidP="001244CD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Odgovornost – Društvo je odgovorno za uskladenost s GDPR-om i mora biti u mogućnosti to dokazati</w:t>
      </w:r>
    </w:p>
    <w:p w14:paraId="479A79D4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C409894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4. Pravne osnove obrade</w:t>
      </w:r>
    </w:p>
    <w:p w14:paraId="252A2216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obrađuje osobne podatke isključivo na temelju jedne od sljedećih pravnih osnova:</w:t>
      </w:r>
    </w:p>
    <w:p w14:paraId="5C6A61EF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Privola (čl. 6/1/a) – za marketinšku komunikaciju i profiliranje</w:t>
      </w:r>
    </w:p>
    <w:p w14:paraId="783BF3A6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Izvršenje ugovora ili predugovorni odnos (čl. 6/1/b) – za pružanje usluga kreditnog posredovanja i zastupanja u osiguranju</w:t>
      </w:r>
    </w:p>
    <w:p w14:paraId="2EFF21BD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Zakonska obveza (čl. 6/1/c) – za ispunjenje obveza prema HNB-u, HANFA-i, MF-u, sprječavanju pranja novca, porezne i računovodstvene obveze</w:t>
      </w:r>
    </w:p>
    <w:p w14:paraId="0CBE21DC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Legitimni interes (čl. 6/1/f) – za zaštitu pravnih interesa, sigurnosni nadzor, analitiku, videonadzor</w:t>
      </w:r>
    </w:p>
    <w:p w14:paraId="7525B25C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42387187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5. Kategorije ispitanika i osobnih podataka</w:t>
      </w:r>
    </w:p>
    <w:p w14:paraId="0A68167F" w14:textId="77777777" w:rsidR="00221ED1" w:rsidRPr="001244CD" w:rsidRDefault="00000000" w:rsidP="001244CD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1244CD">
        <w:rPr>
          <w:rFonts w:ascii="Montserrat" w:hAnsi="Montserrat"/>
          <w:color w:val="00405A"/>
          <w:sz w:val="22"/>
        </w:rPr>
        <w:t>5.1 Klijenti – fizičke osobe</w:t>
      </w:r>
    </w:p>
    <w:p w14:paraId="5633C06E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Identifikacijski podaci: ime, prezime, OIB, datum rođenja, spol, adresa</w:t>
      </w:r>
    </w:p>
    <w:p w14:paraId="1A6A21F1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Kontaktni podaci: telefon, e-mail</w:t>
      </w:r>
    </w:p>
    <w:p w14:paraId="74A4D631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Financijski podaci: prihodi, imovinska stanja, kreditna zaduženost, IBAN</w:t>
      </w:r>
    </w:p>
    <w:p w14:paraId="72BA061E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Dokumentacijski podaci: kopije osobnih isprava, potvrde o zapošljavanju</w:t>
      </w:r>
    </w:p>
    <w:p w14:paraId="65899186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Podaci o uslugama: vrsta tražene usluge, povijest komunikacije, CRM zapisi</w:t>
      </w:r>
    </w:p>
    <w:p w14:paraId="69A0BFC8" w14:textId="77777777" w:rsidR="00221ED1" w:rsidRPr="001244CD" w:rsidRDefault="00000000" w:rsidP="001244CD">
      <w:pPr>
        <w:pStyle w:val="ListParagraph"/>
        <w:numPr>
          <w:ilvl w:val="0"/>
          <w:numId w:val="6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Profilni podaci (uz privolu): segmentacijski podaci, preferencije</w:t>
      </w:r>
    </w:p>
    <w:p w14:paraId="56EA5065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761B0C61" w14:textId="77777777" w:rsidR="00221ED1" w:rsidRPr="001244CD" w:rsidRDefault="00000000" w:rsidP="001244CD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1244CD">
        <w:rPr>
          <w:rFonts w:ascii="Montserrat" w:hAnsi="Montserrat"/>
          <w:color w:val="00405A"/>
          <w:sz w:val="22"/>
        </w:rPr>
        <w:lastRenderedPageBreak/>
        <w:t>5.2 Zaposlenici i vanjski suradnici</w:t>
      </w:r>
    </w:p>
    <w:p w14:paraId="06B6CF57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Kadrovska dokumentacija: ime, prezime, OIB, adresa, IBAN, ugovor o radu</w:t>
      </w:r>
    </w:p>
    <w:p w14:paraId="2E3CF7E0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Evidencija rada: radno vrijeme, bolovanja, godišnji odmor</w:t>
      </w:r>
    </w:p>
    <w:p w14:paraId="73FE19D9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Pristupne ovlasti: korisnički računi, razine pristupa sustavima</w:t>
      </w:r>
    </w:p>
    <w:p w14:paraId="763292FD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D3DE92D" w14:textId="77777777" w:rsidR="00221ED1" w:rsidRPr="001244CD" w:rsidRDefault="00000000" w:rsidP="001244CD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1244CD">
        <w:rPr>
          <w:rFonts w:ascii="Montserrat" w:hAnsi="Montserrat"/>
          <w:color w:val="00405A"/>
          <w:sz w:val="22"/>
        </w:rPr>
        <w:t>5.3 Poslovni partneri (banke, osiguravatelji)</w:t>
      </w:r>
    </w:p>
    <w:p w14:paraId="1B27212B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Kontaktni podaci ovlaštenih osoba: ime, prezime, e-mail, telefon</w:t>
      </w:r>
    </w:p>
    <w:p w14:paraId="47301C7A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Ugovorni podaci: potpisnici ugovora, ovlasti</w:t>
      </w:r>
    </w:p>
    <w:p w14:paraId="1BC15475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62D1C1B4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6. Zajedničke aktivnosti obrade – Fintastic grupa</w:t>
      </w:r>
    </w:p>
    <w:p w14:paraId="2400EEE2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sudjeluje kao zajednički voditelj obrade u sljedećim aktivnostima Fintastic grupe, uređenim Sporazumom FIN-JCA-001:</w:t>
      </w:r>
    </w:p>
    <w:p w14:paraId="52D91B6F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Prikupljanje upita klijenata putem fintastic.hr i distribucija prema relevantnoj tvrtki</w:t>
      </w:r>
    </w:p>
    <w:p w14:paraId="6DFE482A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Zajednički CRM sustav – upravljanje klijentskim odnosima za sve subjekte grupe</w:t>
      </w:r>
    </w:p>
    <w:p w14:paraId="4F23611A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Marketinške kampanje prema klijentima Fintastic grupe (uz privolu)</w:t>
      </w:r>
    </w:p>
    <w:p w14:paraId="1B51073A" w14:textId="77777777" w:rsidR="00221ED1" w:rsidRPr="001244CD" w:rsidRDefault="00000000" w:rsidP="001244CD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Videonadzor zajedničkih poslovnih prostora (gdje je primjenjivo)</w:t>
      </w:r>
    </w:p>
    <w:p w14:paraId="0E8EFB50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Za navedene aktivnosti kontaktna točka za ispitanike je gdpr@fintastic.hr. Koordinacijska odgovornost povjerena je Pro savjetovanju d.o.o.</w:t>
      </w:r>
    </w:p>
    <w:p w14:paraId="1E4BEB3B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618BEEA1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7. Službenik za zaštitu podataka (DPO)</w:t>
      </w:r>
    </w:p>
    <w:p w14:paraId="504E792B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je obvezno imenovati DPO-a sukladno čl. 37. GDPR-a obzirom na opseg obrade posebnih kategorija podataka i regulatorne zahtjeve sektora. DPO Fintastic grupe je:</w:t>
      </w:r>
    </w:p>
    <w:p w14:paraId="137991EE" w14:textId="6F6B0542" w:rsidR="00221ED1" w:rsidRPr="001244CD" w:rsidRDefault="00000000" w:rsidP="001244CD">
      <w:pPr>
        <w:spacing w:before="60" w:after="60"/>
        <w:jc w:val="both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Ime i prezime: </w:t>
      </w:r>
      <w:r w:rsidR="00945C43">
        <w:rPr>
          <w:rFonts w:ascii="Montserrat" w:hAnsi="Montserrat"/>
          <w:color w:val="1A1A1A"/>
        </w:rPr>
        <w:t>Daniel Bara</w:t>
      </w:r>
    </w:p>
    <w:p w14:paraId="39E0053E" w14:textId="5A25CBA8" w:rsidR="00221ED1" w:rsidRPr="001244CD" w:rsidRDefault="00000000" w:rsidP="001244CD">
      <w:pPr>
        <w:spacing w:before="60" w:after="60"/>
        <w:jc w:val="both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E-mail: </w:t>
      </w:r>
      <w:r w:rsidR="00945C43">
        <w:rPr>
          <w:rFonts w:ascii="Montserrat" w:hAnsi="Montserrat"/>
          <w:color w:val="1A1A1A"/>
        </w:rPr>
        <w:t>gdpr</w:t>
      </w:r>
      <w:r w:rsidRPr="001244CD">
        <w:rPr>
          <w:rFonts w:ascii="Montserrat" w:hAnsi="Montserrat"/>
          <w:color w:val="1A1A1A"/>
        </w:rPr>
        <w:t>@fintastic.hr</w:t>
      </w:r>
    </w:p>
    <w:p w14:paraId="6235F4B0" w14:textId="77777777" w:rsidR="00221ED1" w:rsidRPr="001244CD" w:rsidRDefault="00000000" w:rsidP="001244CD">
      <w:pPr>
        <w:spacing w:before="60" w:after="60"/>
        <w:jc w:val="both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GDPR kontakt za ispitanike: </w:t>
      </w:r>
      <w:r w:rsidRPr="001244CD">
        <w:rPr>
          <w:rFonts w:ascii="Montserrat" w:hAnsi="Montserrat"/>
          <w:color w:val="1A1A1A"/>
        </w:rPr>
        <w:t>gdpr@fintastic.hr</w:t>
      </w:r>
    </w:p>
    <w:p w14:paraId="494122E1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DPO je neovisan u obavljanju svojih zadaća, ne prima upute u pogledu izvršavanja funkcije DPO-a, izravno odgovara upravi Društva te ne može biti opozvan zbog izvršavanja zakonskih zadaća.</w:t>
      </w:r>
    </w:p>
    <w:p w14:paraId="62E3DC97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5A92784D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8. Prikupljanje osobnih podataka</w:t>
      </w:r>
    </w:p>
    <w:p w14:paraId="401E0DF2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Radnici Društva smiju prikupljati osobne podatke isključivo:</w:t>
      </w:r>
    </w:p>
    <w:p w14:paraId="5C09CCF0" w14:textId="77777777" w:rsidR="00221ED1" w:rsidRPr="001244CD" w:rsidRDefault="00000000" w:rsidP="001244CD">
      <w:pPr>
        <w:pStyle w:val="ListParagraph"/>
        <w:numPr>
          <w:ilvl w:val="0"/>
          <w:numId w:val="8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ako je prikupljanje predviđeno Evidencijom aktivnosti obrade (RoPA)</w:t>
      </w:r>
    </w:p>
    <w:p w14:paraId="7F07ECB9" w14:textId="77777777" w:rsidR="00221ED1" w:rsidRPr="001244CD" w:rsidRDefault="00000000" w:rsidP="001244CD">
      <w:pPr>
        <w:pStyle w:val="ListParagraph"/>
        <w:numPr>
          <w:ilvl w:val="0"/>
          <w:numId w:val="8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ako postoji odgovarajuća pravna osnova iz čl. 6. GDPR-a</w:t>
      </w:r>
    </w:p>
    <w:p w14:paraId="6E1177BB" w14:textId="77777777" w:rsidR="00221ED1" w:rsidRPr="001244CD" w:rsidRDefault="00000000" w:rsidP="001244CD">
      <w:pPr>
        <w:pStyle w:val="ListParagraph"/>
        <w:numPr>
          <w:ilvl w:val="0"/>
          <w:numId w:val="8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ako je ispitanik prethodno informiran sukladno čl. 13. ili 14. GDPR-a</w:t>
      </w:r>
    </w:p>
    <w:p w14:paraId="2F2B2ACF" w14:textId="77777777" w:rsidR="00221ED1" w:rsidRPr="001244CD" w:rsidRDefault="00000000" w:rsidP="001244CD">
      <w:pPr>
        <w:pStyle w:val="ListParagraph"/>
        <w:numPr>
          <w:ilvl w:val="0"/>
          <w:numId w:val="8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u opsegu nužnom za ostvarenje svrhe – načelo minimizacije</w:t>
      </w:r>
    </w:p>
    <w:p w14:paraId="380A24CF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lastRenderedPageBreak/>
        <w:t>Zabranjeno je:</w:t>
      </w:r>
    </w:p>
    <w:p w14:paraId="7832E6BF" w14:textId="77777777" w:rsidR="00221ED1" w:rsidRPr="001244CD" w:rsidRDefault="00000000" w:rsidP="001244CD">
      <w:pPr>
        <w:pStyle w:val="ListParagraph"/>
        <w:numPr>
          <w:ilvl w:val="0"/>
          <w:numId w:val="9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prikupljanje podataka putem privatnih e-mail adresa, privatnog WhatsAppa ili SMS-a</w:t>
      </w:r>
    </w:p>
    <w:p w14:paraId="53CB2D83" w14:textId="77777777" w:rsidR="00221ED1" w:rsidRPr="001244CD" w:rsidRDefault="00000000" w:rsidP="001244CD">
      <w:pPr>
        <w:pStyle w:val="ListParagraph"/>
        <w:numPr>
          <w:ilvl w:val="0"/>
          <w:numId w:val="9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fotografiranje ili skeniranje osobnih isprava bez neophodne poslovne potrebe</w:t>
      </w:r>
    </w:p>
    <w:p w14:paraId="349DEBA8" w14:textId="77777777" w:rsidR="00221ED1" w:rsidRPr="001244CD" w:rsidRDefault="00000000" w:rsidP="001244CD">
      <w:pPr>
        <w:pStyle w:val="ListParagraph"/>
        <w:numPr>
          <w:ilvl w:val="0"/>
          <w:numId w:val="9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pohrana osobnih podataka na privatnim uređajima ili privatnom cloud storageu</w:t>
      </w:r>
    </w:p>
    <w:p w14:paraId="2966698B" w14:textId="77777777" w:rsidR="00221ED1" w:rsidRPr="001244CD" w:rsidRDefault="00000000" w:rsidP="001244CD">
      <w:pPr>
        <w:pStyle w:val="ListParagraph"/>
        <w:numPr>
          <w:ilvl w:val="0"/>
          <w:numId w:val="9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prosljeđivanje osobnih podataka neovlaštenim osobama ili vanjskim suradnicima bez DPA ugovora</w:t>
      </w:r>
    </w:p>
    <w:p w14:paraId="58EBC758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684B709B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9. Pristup osobnim podacima</w:t>
      </w:r>
    </w:p>
    <w:p w14:paraId="312BCAE4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Pristup osobnim podacima uređuje se načelima:</w:t>
      </w:r>
    </w:p>
    <w:p w14:paraId="78136BD6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'Need-to-know' – radnik ima pristup samo podacima koji su nužni za obavljanje njegovih radnih zadataka</w:t>
      </w:r>
    </w:p>
    <w:p w14:paraId="1C1CD6DF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Minimalna privilegija – dodjeljuje se minimalna razina pristupa potrebna za posao</w:t>
      </w:r>
    </w:p>
    <w:p w14:paraId="196BF2AB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Višefaktorska autentifikacija (MFA) – obvezna za pristup CRM-u i svim sustavima s osobnim podacima</w:t>
      </w:r>
    </w:p>
    <w:p w14:paraId="5D4952CD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Revizija pristupa – najmanje jednom godišnje ili pri promjeni radnog statusa</w:t>
      </w:r>
    </w:p>
    <w:p w14:paraId="60FA63A7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Deaktivacija – odmah pri prestanku radnog odnosa ili promjeni uloge</w:t>
      </w:r>
    </w:p>
    <w:p w14:paraId="00CDEE11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7732A0F8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10. Pohrana i čuvanje osobnih podataka</w:t>
      </w:r>
    </w:p>
    <w:p w14:paraId="6C563D08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Osobni podaci pohranjuju se isključivo u službenim sustavima:</w:t>
      </w:r>
    </w:p>
    <w:p w14:paraId="437059B6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Zajednički CRM sustav Fintastic grupe</w:t>
      </w:r>
    </w:p>
    <w:p w14:paraId="482E740F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Microsoft 365 (SharePoint, OneDrive, Exchange) – zaštićen enkripcijom</w:t>
      </w:r>
    </w:p>
    <w:p w14:paraId="39272E3A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Fizička dokumentacija – u zaključanim ormarima, ograničen pristup</w:t>
      </w:r>
    </w:p>
    <w:p w14:paraId="44D029F4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Rokovi čuvanja:</w:t>
      </w:r>
    </w:p>
    <w:p w14:paraId="00E6454B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Podaci klijenata bez sklopljenog ugovora: 2 godine ili do povlačenja privole</w:t>
      </w:r>
    </w:p>
    <w:p w14:paraId="1CFD04F2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Podaci klijenata s ugovornim odnosom: trajanje ugovora + 5 godina</w:t>
      </w:r>
    </w:p>
    <w:p w14:paraId="31B38252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Marketing (uz privolu): do povlačenja privole</w:t>
      </w:r>
    </w:p>
    <w:p w14:paraId="4E9B50ED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CRM bez privole: 14 dana (automatsko brisanje)</w:t>
      </w:r>
    </w:p>
    <w:p w14:paraId="377C8115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Kadrovska dokumentacija: 11 godina (Zakon o radu)</w:t>
      </w:r>
    </w:p>
    <w:p w14:paraId="3E70D0DB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Računovodstveni dokumenti: 11 godina (Zakon o računovodstvu)</w:t>
      </w:r>
    </w:p>
    <w:p w14:paraId="09092D51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Videonadzor: 30 dana</w:t>
      </w:r>
    </w:p>
    <w:p w14:paraId="401C220A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Poslovna komunikacija (e-mail): 5 godina</w:t>
      </w:r>
    </w:p>
    <w:p w14:paraId="1252BA85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ACA2E7A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11. Sigurnost osobnih podataka</w:t>
      </w:r>
    </w:p>
    <w:p w14:paraId="0965AD9B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provodi sljedeće tehničke i organizacijske mjere zaštite:</w:t>
      </w:r>
    </w:p>
    <w:p w14:paraId="1CC1B807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Enkripcija podataka u pohrani i prijenosu (TLS 1.2+, AES-256)</w:t>
      </w:r>
    </w:p>
    <w:p w14:paraId="4EBD982B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lastRenderedPageBreak/>
        <w:t>Višefaktorska autentifikacija (MFA) na svim ključnim sustavima</w:t>
      </w:r>
    </w:p>
    <w:p w14:paraId="5A83893A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Redovite sigurnosne kopije (backup) s testiranjem oporavka</w:t>
      </w:r>
    </w:p>
    <w:p w14:paraId="03346D96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Antivirusna zaštita i redovita sigurnosna ažuriranja</w:t>
      </w:r>
    </w:p>
    <w:p w14:paraId="0D5CBC1B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Upravljanje pristupima – načelo minimalne privilegije</w:t>
      </w:r>
    </w:p>
    <w:p w14:paraId="39A91C85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Edukacija zaposlenika – najmanje jednom godišnje</w:t>
      </w:r>
    </w:p>
    <w:p w14:paraId="27B7FA74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Potpisana izjava o povjerljivosti za sve zaposlenike s pristupom osobnim podacima</w:t>
      </w:r>
    </w:p>
    <w:p w14:paraId="580FE957" w14:textId="77777777" w:rsidR="00221ED1" w:rsidRPr="001244CD" w:rsidRDefault="00000000" w:rsidP="001244CD">
      <w:pPr>
        <w:pStyle w:val="ListParagraph"/>
        <w:numPr>
          <w:ilvl w:val="0"/>
          <w:numId w:val="10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Politika čistog stola – dokumenti s osobnim podacima se zaključavaju ili uništavaju</w:t>
      </w:r>
    </w:p>
    <w:p w14:paraId="75778718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586916B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12. Prijenosi podataka partnerima (bankama, osiguravateljima)</w:t>
      </w:r>
    </w:p>
    <w:p w14:paraId="1685665A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U okviru pružanja usluga kreditnog posredovanja i zastupanja u osiguranju, Društvo proslijeđuje osobne podatke klijenata partnerskim bankama i osiguravateljima. Ti prijenosi provode se:</w:t>
      </w:r>
    </w:p>
    <w:p w14:paraId="16B4522E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temeljem predugovornog odnosa ili izvršenja ugovora s klijentom (čl. 6/1/b)</w:t>
      </w:r>
    </w:p>
    <w:p w14:paraId="1EC16D21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isključivo prema bankama i osiguravateljima s kojima Društvo ima sklopljene ugovore o suradnji</w:t>
      </w:r>
    </w:p>
    <w:p w14:paraId="7D844A39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u opsegu nužnom za obradu konkretnog zahtjeva klijenta</w:t>
      </w:r>
    </w:p>
    <w:p w14:paraId="57207899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isključivo putem zaštićenih kanala (portali banaka i osiguravatelja, enkriptirani e-mail)</w:t>
      </w:r>
    </w:p>
    <w:p w14:paraId="30747BA1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Partneri (Adriatic, Allianz, Croatia osiguranje, Euroherc, Generali, Grawe, Groupama, HOK, Triglav, UNIQA, Wiener, Agram Life) u odnosu na podatke koje im Društvo proslijeđuje nastupaju kao samostalni voditelji obrade ili izvršitelji, ovisno o naravi njihove obrade.</w:t>
      </w:r>
    </w:p>
    <w:p w14:paraId="7FB7ADAB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448E85B0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13. Prava ispitanika</w:t>
      </w:r>
    </w:p>
    <w:p w14:paraId="2AAB817D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Društvo osigurava ostvarivanje sljedećih prava ispitanika:</w:t>
      </w:r>
    </w:p>
    <w:p w14:paraId="10935601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pristup (čl. 15) – kopija podataka i informacije o obradi</w:t>
      </w:r>
    </w:p>
    <w:p w14:paraId="7F5723AD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ispravak (čl. 16) – ispravak netočnih podataka</w:t>
      </w:r>
    </w:p>
    <w:p w14:paraId="4D009058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brisanje (čl. 17) – brisanje podataka ('pravo na zaborav')</w:t>
      </w:r>
    </w:p>
    <w:p w14:paraId="29AE5A69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ograničenje obrade (čl. 18)</w:t>
      </w:r>
    </w:p>
    <w:p w14:paraId="20CF2AD7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prenosivost (čl. 20) – dostava podataka u strojno čitljivom formatu</w:t>
      </w:r>
    </w:p>
    <w:p w14:paraId="46AB3287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na prigovor (čl. 21) – posebno za obradu na temelju legitimnog interesa i marketing</w:t>
      </w:r>
    </w:p>
    <w:p w14:paraId="30BE3644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povlačenja privole – u svakom trenutku, bez negativnih posljedica za ispitanika</w:t>
      </w:r>
    </w:p>
    <w:p w14:paraId="0C34A4A6" w14:textId="77777777" w:rsidR="00221ED1" w:rsidRPr="001244CD" w:rsidRDefault="00000000" w:rsidP="001244CD">
      <w:pPr>
        <w:pStyle w:val="ListParagraph"/>
        <w:numPr>
          <w:ilvl w:val="0"/>
          <w:numId w:val="11"/>
        </w:numPr>
        <w:spacing w:before="50" w:after="50"/>
        <w:jc w:val="both"/>
        <w:rPr>
          <w:rFonts w:ascii="Montserrat" w:hAnsi="Montserrat"/>
          <w:color w:val="1A1A1A"/>
        </w:rPr>
      </w:pPr>
      <w:r w:rsidRPr="001244CD">
        <w:rPr>
          <w:rFonts w:ascii="Montserrat" w:hAnsi="Montserrat"/>
          <w:color w:val="1A1A1A"/>
        </w:rPr>
        <w:t>Pravo podnošenja pritužbe AZOP-u – azop.hr, Martićeva 14, Zagreb</w:t>
      </w:r>
    </w:p>
    <w:p w14:paraId="5C02FEB2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Kontakt za ostvarivanje prava: gdpr@fintastic.hr. Odgovaramo u roku 30 dana.</w:t>
      </w:r>
    </w:p>
    <w:p w14:paraId="79F1D3C5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4D5615FD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lastRenderedPageBreak/>
        <w:t>14. Incidenti i povrede osobnih podataka</w:t>
      </w:r>
    </w:p>
    <w:p w14:paraId="7A967AA0" w14:textId="4070AD8E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Svaki radnik dužan je odmah prijaviti svaki sigurnosni incident ili sumnju na povredu osobnih podataka DPO-u i upravi. Društvo će:</w:t>
      </w:r>
    </w:p>
    <w:p w14:paraId="79EB45A8" w14:textId="77777777" w:rsidR="00221ED1" w:rsidRPr="001244CD" w:rsidRDefault="00000000" w:rsidP="001244CD">
      <w:pPr>
        <w:pStyle w:val="ListParagraph"/>
        <w:numPr>
          <w:ilvl w:val="0"/>
          <w:numId w:val="1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procijeniti incident i poduzeti mjere sanacije</w:t>
      </w:r>
    </w:p>
    <w:p w14:paraId="51DC2FB2" w14:textId="77777777" w:rsidR="00221ED1" w:rsidRPr="001244CD" w:rsidRDefault="00000000" w:rsidP="001244CD">
      <w:pPr>
        <w:pStyle w:val="ListParagraph"/>
        <w:numPr>
          <w:ilvl w:val="0"/>
          <w:numId w:val="1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prijaviti povredu AZOP-u u roku 72 sata ako postoji rizik za ispitanike</w:t>
      </w:r>
    </w:p>
    <w:p w14:paraId="071EAEA3" w14:textId="77777777" w:rsidR="00221ED1" w:rsidRPr="001244CD" w:rsidRDefault="00000000" w:rsidP="001244CD">
      <w:pPr>
        <w:pStyle w:val="ListParagraph"/>
        <w:numPr>
          <w:ilvl w:val="0"/>
          <w:numId w:val="1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obavijestiti ispitanike ako postoji visoki rizik za njihova prava i slobode</w:t>
      </w:r>
    </w:p>
    <w:p w14:paraId="3F1E5711" w14:textId="77777777" w:rsidR="00221ED1" w:rsidRPr="001244CD" w:rsidRDefault="00000000" w:rsidP="001244CD">
      <w:pPr>
        <w:pStyle w:val="ListParagraph"/>
        <w:numPr>
          <w:ilvl w:val="0"/>
          <w:numId w:val="12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dokumentirati svaki incident u Registru incidenata</w:t>
      </w:r>
    </w:p>
    <w:p w14:paraId="09FEF554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15165C4E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15. Edukacija zaposlenika</w:t>
      </w:r>
    </w:p>
    <w:p w14:paraId="15DFC613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Svi zaposlenici obvezni su:</w:t>
      </w:r>
    </w:p>
    <w:p w14:paraId="44BE810C" w14:textId="77777777" w:rsidR="00221ED1" w:rsidRPr="001244CD" w:rsidRDefault="00000000" w:rsidP="001244CD">
      <w:pPr>
        <w:pStyle w:val="ListParagraph"/>
        <w:numPr>
          <w:ilvl w:val="0"/>
          <w:numId w:val="1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proći uvodni GDPR trening pri zaposlenju</w:t>
      </w:r>
    </w:p>
    <w:p w14:paraId="5B698166" w14:textId="77777777" w:rsidR="00221ED1" w:rsidRPr="001244CD" w:rsidRDefault="00000000" w:rsidP="001244CD">
      <w:pPr>
        <w:pStyle w:val="ListParagraph"/>
        <w:numPr>
          <w:ilvl w:val="0"/>
          <w:numId w:val="1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sudjelovati u godišnjoj GDPR edukaciji</w:t>
      </w:r>
    </w:p>
    <w:p w14:paraId="7996104D" w14:textId="77777777" w:rsidR="00221ED1" w:rsidRPr="001244CD" w:rsidRDefault="00000000" w:rsidP="001244CD">
      <w:pPr>
        <w:pStyle w:val="ListParagraph"/>
        <w:numPr>
          <w:ilvl w:val="0"/>
          <w:numId w:val="1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potpisati Izjavu o povjerljivosti i prihvaćanju Politike</w:t>
      </w:r>
    </w:p>
    <w:p w14:paraId="0CFC498B" w14:textId="77777777" w:rsidR="00221ED1" w:rsidRPr="001244CD" w:rsidRDefault="00000000" w:rsidP="001244CD">
      <w:pPr>
        <w:pStyle w:val="ListParagraph"/>
        <w:numPr>
          <w:ilvl w:val="0"/>
          <w:numId w:val="13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odmah prijaviti svaki upit ili zahtjev klijenta vezan uz GDPR DPO-u</w:t>
      </w:r>
    </w:p>
    <w:p w14:paraId="459E1ECE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5E109F59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16. Organizacija i nadzor</w:t>
      </w:r>
    </w:p>
    <w:p w14:paraId="3EBE035B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DPO je nadležan za:</w:t>
      </w:r>
    </w:p>
    <w:p w14:paraId="1A9394B9" w14:textId="7777777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praćenje uskladenosti s GDPR-om i ažuriranje dokumentacije</w:t>
      </w:r>
    </w:p>
    <w:p w14:paraId="2ABD4ECE" w14:textId="7777777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vođenje i ažuriranje Evidencije aktivnosti obrade (RoPA)</w:t>
      </w:r>
    </w:p>
    <w:p w14:paraId="3B850742" w14:textId="7777777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provedbu procjena učinka (DPIA) za visokorizične obrade</w:t>
      </w:r>
    </w:p>
    <w:p w14:paraId="79744152" w14:textId="7777777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savjetovanje uprave i zaposlenika o GDPR pitanjima</w:t>
      </w:r>
    </w:p>
    <w:p w14:paraId="7BFAD887" w14:textId="7777777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suradnju s AZOP-om kao nadzornim tijelom</w:t>
      </w:r>
    </w:p>
    <w:p w14:paraId="14C99B7C" w14:textId="48EE4537" w:rsidR="00221ED1" w:rsidRPr="001244CD" w:rsidRDefault="00000000" w:rsidP="001244CD">
      <w:pPr>
        <w:pStyle w:val="ListParagraph"/>
        <w:numPr>
          <w:ilvl w:val="0"/>
          <w:numId w:val="14"/>
        </w:numPr>
        <w:spacing w:before="50" w:after="5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koordinaciju s DPO-ima i pravnim odjelima reguliranih partnera (HNB, HANFA)</w:t>
      </w:r>
    </w:p>
    <w:p w14:paraId="155E974D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Radnici su dužni bez odgode obavijestiti DPO-a o svakoj novoj aktivnosti obrade, promjeni postojeće aktivnosti ili eventualnom incidentu.</w:t>
      </w:r>
    </w:p>
    <w:p w14:paraId="68DF21BD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531E3569" w14:textId="77777777" w:rsidR="00221ED1" w:rsidRPr="001244CD" w:rsidRDefault="00000000" w:rsidP="001244CD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1244CD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17. Završne odredbe</w:t>
      </w:r>
    </w:p>
    <w:p w14:paraId="48F3F09C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Ova Politika obvezuje sve zaposlenike, vanjske suradnike i osobe koje u bilo kojemu svojstvu obrađuju osobne podatke u ime Društva. Kršenje Politike može rezultirati disciplinskim mjerama, raskidom radnog odnosa ili ugovornog odnosa te pravnom odgovornošću.</w:t>
      </w:r>
    </w:p>
    <w:p w14:paraId="516266FD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Politika se revidira najmanje jednom godišnje ili pri svakoj značajnoj promjeni u aktivnostima obrade, regulatornom okviru ili organizacijskoj strukturi Društva.</w:t>
      </w:r>
    </w:p>
    <w:p w14:paraId="2C8C73DF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2345EEA1" w14:textId="2B4F17BA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6B6B6B"/>
        </w:rPr>
        <w:t>U Zagrebu, 15. 0</w:t>
      </w:r>
      <w:r w:rsidR="001244CD">
        <w:rPr>
          <w:rFonts w:ascii="Montserrat" w:hAnsi="Montserrat"/>
          <w:color w:val="6B6B6B"/>
        </w:rPr>
        <w:t>7</w:t>
      </w:r>
      <w:r w:rsidRPr="001244CD">
        <w:rPr>
          <w:rFonts w:ascii="Montserrat" w:hAnsi="Montserrat"/>
          <w:color w:val="6B6B6B"/>
        </w:rPr>
        <w:t>. 202</w:t>
      </w:r>
      <w:r w:rsidR="001244CD">
        <w:rPr>
          <w:rFonts w:ascii="Montserrat" w:hAnsi="Montserrat"/>
          <w:color w:val="6B6B6B"/>
        </w:rPr>
        <w:t>5</w:t>
      </w:r>
      <w:r w:rsidRPr="001244CD">
        <w:rPr>
          <w:rFonts w:ascii="Montserrat" w:hAnsi="Montserrat"/>
          <w:color w:val="6B6B6B"/>
        </w:rPr>
        <w:t>.</w:t>
      </w:r>
    </w:p>
    <w:p w14:paraId="58F47BAE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363997C8" w14:textId="77777777" w:rsidR="00221ED1" w:rsidRPr="001244CD" w:rsidRDefault="00000000" w:rsidP="001244CD">
      <w:pPr>
        <w:spacing w:before="80" w:after="60"/>
        <w:jc w:val="both"/>
        <w:rPr>
          <w:rFonts w:ascii="Montserrat" w:hAnsi="Montserrat"/>
        </w:rPr>
      </w:pPr>
      <w:r w:rsidRPr="001244CD">
        <w:rPr>
          <w:rFonts w:ascii="Montserrat" w:hAnsi="Montserrat"/>
          <w:b/>
          <w:bCs/>
          <w:color w:val="1A3A5C"/>
        </w:rPr>
        <w:t xml:space="preserve">Uprava / Vlasnik: </w:t>
      </w:r>
      <w:r w:rsidRPr="001244CD">
        <w:rPr>
          <w:rFonts w:ascii="Montserrat" w:hAnsi="Montserrat"/>
          <w:color w:val="1A1A1A"/>
        </w:rPr>
        <w:t>______________________________   Potpis: _____________________</w:t>
      </w:r>
    </w:p>
    <w:p w14:paraId="5975FC47" w14:textId="77777777" w:rsidR="00221ED1" w:rsidRPr="001244CD" w:rsidRDefault="00000000" w:rsidP="001244CD">
      <w:pPr>
        <w:pStyle w:val="Heading1"/>
        <w:pBdr>
          <w:bottom w:val="single" w:sz="4" w:space="1" w:color="00405A"/>
        </w:pBdr>
        <w:spacing w:before="0" w:after="120"/>
        <w:jc w:val="both"/>
        <w:rPr>
          <w:rFonts w:ascii="Montserrat" w:hAnsi="Montserrat"/>
          <w:caps/>
          <w:color w:val="00405A"/>
          <w:sz w:val="28"/>
          <w:szCs w:val="28"/>
        </w:rPr>
      </w:pPr>
      <w:r w:rsidRPr="001244CD">
        <w:rPr>
          <w:rFonts w:ascii="Montserrat" w:hAnsi="Montserrat"/>
          <w:caps/>
          <w:color w:val="00405A"/>
          <w:sz w:val="28"/>
          <w:szCs w:val="28"/>
        </w:rPr>
        <w:lastRenderedPageBreak/>
        <w:t>Prilog 1. – Izjava zaposlenika o upoznatosti i prihvaćanju Politike</w:t>
      </w:r>
    </w:p>
    <w:p w14:paraId="1E5C1360" w14:textId="77777777" w:rsidR="00221ED1" w:rsidRDefault="00221ED1" w:rsidP="001244CD">
      <w:pPr>
        <w:spacing w:after="10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5"/>
        <w:gridCol w:w="4530"/>
      </w:tblGrid>
      <w:tr w:rsidR="001244CD" w14:paraId="7AC1EB8A" w14:textId="77777777" w:rsidTr="00D03FC2">
        <w:tc>
          <w:tcPr>
            <w:tcW w:w="2405" w:type="dxa"/>
          </w:tcPr>
          <w:p w14:paraId="41A9ED24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Ime i prezime:</w:t>
            </w:r>
          </w:p>
        </w:tc>
        <w:tc>
          <w:tcPr>
            <w:tcW w:w="6655" w:type="dxa"/>
            <w:gridSpan w:val="2"/>
            <w:tcBorders>
              <w:bottom w:val="single" w:sz="4" w:space="0" w:color="00405A"/>
            </w:tcBorders>
          </w:tcPr>
          <w:p w14:paraId="2EFB5393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1244CD" w14:paraId="1658B71A" w14:textId="77777777" w:rsidTr="00D03FC2">
        <w:tc>
          <w:tcPr>
            <w:tcW w:w="2405" w:type="dxa"/>
          </w:tcPr>
          <w:p w14:paraId="7C7615B9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Radno mjesto:</w:t>
            </w:r>
          </w:p>
        </w:tc>
        <w:tc>
          <w:tcPr>
            <w:tcW w:w="6655" w:type="dxa"/>
            <w:gridSpan w:val="2"/>
            <w:tcBorders>
              <w:top w:val="single" w:sz="4" w:space="0" w:color="00405A"/>
              <w:bottom w:val="single" w:sz="4" w:space="0" w:color="00405A"/>
            </w:tcBorders>
          </w:tcPr>
          <w:p w14:paraId="592C5F81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1244CD" w14:paraId="658FE2B7" w14:textId="77777777" w:rsidTr="00D03FC2">
        <w:tc>
          <w:tcPr>
            <w:tcW w:w="4530" w:type="dxa"/>
            <w:gridSpan w:val="2"/>
          </w:tcPr>
          <w:p w14:paraId="64750EC0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 zaposlenja / početka suradnje:</w:t>
            </w:r>
          </w:p>
        </w:tc>
        <w:tc>
          <w:tcPr>
            <w:tcW w:w="4530" w:type="dxa"/>
            <w:tcBorders>
              <w:bottom w:val="single" w:sz="4" w:space="0" w:color="00405A"/>
            </w:tcBorders>
          </w:tcPr>
          <w:p w14:paraId="79C3BF54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0445B7EE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p w14:paraId="01ADD1D3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Potvrđujem da sam pročitao/la, razumio/la i prihvatio/la Politiku zaštite osobnih podataka Pro zastupanje (vl. Vjeko Peretić) (FIN-POL-ZOP v3.0) te sve priložene akte na koje se Politika poziva.</w:t>
      </w:r>
    </w:p>
    <w:p w14:paraId="04572D26" w14:textId="77777777" w:rsidR="00221ED1" w:rsidRPr="001244CD" w:rsidRDefault="00000000" w:rsidP="001244CD">
      <w:pPr>
        <w:spacing w:before="80" w:after="80"/>
        <w:jc w:val="both"/>
        <w:rPr>
          <w:rFonts w:ascii="Montserrat" w:hAnsi="Montserrat"/>
        </w:rPr>
      </w:pPr>
      <w:r w:rsidRPr="001244CD">
        <w:rPr>
          <w:rFonts w:ascii="Montserrat" w:hAnsi="Montserrat"/>
          <w:color w:val="1A1A1A"/>
        </w:rPr>
        <w:t>Obvezujem se postupati sukladno ovoj Politici, pridržavati se načela minimizacije i povjerljivosti, odmah prijaviti svaki incident ili zahtjev ispitanika DPO-u te sudjelovati u svim propisanim edukacijama.</w:t>
      </w:r>
    </w:p>
    <w:p w14:paraId="1F6BC5B4" w14:textId="77777777" w:rsidR="00221ED1" w:rsidRPr="001244CD" w:rsidRDefault="00221ED1" w:rsidP="001244CD">
      <w:pPr>
        <w:spacing w:after="10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5"/>
      </w:tblGrid>
      <w:tr w:rsidR="001244CD" w14:paraId="206CE887" w14:textId="77777777" w:rsidTr="00D03FC2">
        <w:tc>
          <w:tcPr>
            <w:tcW w:w="1560" w:type="dxa"/>
          </w:tcPr>
          <w:p w14:paraId="2B9F7A39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</w:t>
            </w: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: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2020ABD6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1244CD" w14:paraId="4265745A" w14:textId="77777777" w:rsidTr="00D03FC2">
        <w:tc>
          <w:tcPr>
            <w:tcW w:w="1560" w:type="dxa"/>
          </w:tcPr>
          <w:p w14:paraId="0D215295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7505" w:type="dxa"/>
            <w:tcBorders>
              <w:top w:val="single" w:sz="4" w:space="0" w:color="00405A"/>
            </w:tcBorders>
          </w:tcPr>
          <w:p w14:paraId="5269DD8E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1244CD" w14:paraId="5D472F8A" w14:textId="77777777" w:rsidTr="00D03FC2">
        <w:tc>
          <w:tcPr>
            <w:tcW w:w="1560" w:type="dxa"/>
          </w:tcPr>
          <w:p w14:paraId="492D882C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Potpis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72CDD3E7" w14:textId="77777777" w:rsidR="001244CD" w:rsidRDefault="001244CD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535742EB" w14:textId="4C880888" w:rsidR="00221ED1" w:rsidRDefault="00221ED1" w:rsidP="001244CD">
      <w:pPr>
        <w:spacing w:before="80" w:after="80"/>
        <w:jc w:val="both"/>
        <w:rPr>
          <w:rFonts w:ascii="Montserrat" w:hAnsi="Montserrat"/>
          <w:color w:val="1A1A1A"/>
        </w:rPr>
      </w:pPr>
    </w:p>
    <w:p w14:paraId="61591CCA" w14:textId="77777777" w:rsidR="001244CD" w:rsidRPr="001244CD" w:rsidRDefault="001244CD" w:rsidP="001244CD">
      <w:pPr>
        <w:spacing w:before="80" w:after="80"/>
        <w:jc w:val="both"/>
        <w:rPr>
          <w:rFonts w:ascii="Montserrat" w:hAnsi="Montserrat"/>
        </w:rPr>
      </w:pPr>
    </w:p>
    <w:sectPr w:rsidR="001244CD" w:rsidRPr="001244CD" w:rsidSect="001244CD">
      <w:headerReference w:type="default" r:id="rId7"/>
      <w:pgSz w:w="11906" w:h="16838"/>
      <w:pgMar w:top="1701" w:right="1418" w:bottom="170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78C4" w14:textId="77777777" w:rsidR="00C63419" w:rsidRDefault="00C63419" w:rsidP="001244CD">
      <w:r>
        <w:separator/>
      </w:r>
    </w:p>
  </w:endnote>
  <w:endnote w:type="continuationSeparator" w:id="0">
    <w:p w14:paraId="67853928" w14:textId="77777777" w:rsidR="00C63419" w:rsidRDefault="00C63419" w:rsidP="0012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34B4" w14:textId="77777777" w:rsidR="00C63419" w:rsidRDefault="00C63419" w:rsidP="001244CD">
      <w:r>
        <w:separator/>
      </w:r>
    </w:p>
  </w:footnote>
  <w:footnote w:type="continuationSeparator" w:id="0">
    <w:p w14:paraId="09B78376" w14:textId="77777777" w:rsidR="00C63419" w:rsidRDefault="00C63419" w:rsidP="0012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134"/>
      <w:gridCol w:w="3544"/>
      <w:gridCol w:w="2409"/>
    </w:tblGrid>
    <w:tr w:rsidR="001244CD" w:rsidRPr="00032956" w14:paraId="4127C1B0" w14:textId="77777777" w:rsidTr="001244CD">
      <w:trPr>
        <w:cantSplit/>
        <w:trHeight w:val="426"/>
      </w:trPr>
      <w:tc>
        <w:tcPr>
          <w:tcW w:w="3134" w:type="dxa"/>
          <w:vMerge w:val="restart"/>
          <w:vAlign w:val="center"/>
        </w:tcPr>
        <w:p w14:paraId="66529119" w14:textId="77777777" w:rsidR="001244CD" w:rsidRPr="00567495" w:rsidRDefault="001244CD" w:rsidP="001244CD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3D5DEAE" wp14:editId="2F48B441">
                <wp:extent cx="1921813" cy="433705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202" cy="44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vAlign w:val="center"/>
        </w:tcPr>
        <w:p w14:paraId="08956518" w14:textId="52A2838F" w:rsidR="001244CD" w:rsidRPr="00645211" w:rsidRDefault="001244CD" w:rsidP="001244CD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1244CD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Politika zaštite osobnih podataka Pro zastupanje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(vl. Vjeko Peretić)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409" w:type="dxa"/>
          <w:tcBorders>
            <w:bottom w:val="single" w:sz="8" w:space="0" w:color="0070C0"/>
          </w:tcBorders>
          <w:vAlign w:val="center"/>
        </w:tcPr>
        <w:p w14:paraId="66540A9B" w14:textId="77777777" w:rsidR="001244CD" w:rsidRPr="00A01CE4" w:rsidRDefault="001244CD" w:rsidP="001244CD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FIN-POL-ZOP-v3.0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1244CD" w:rsidRPr="00032956" w14:paraId="5A3BBDC6" w14:textId="77777777" w:rsidTr="001244CD">
      <w:trPr>
        <w:cantSplit/>
        <w:trHeight w:val="471"/>
      </w:trPr>
      <w:tc>
        <w:tcPr>
          <w:tcW w:w="3134" w:type="dxa"/>
          <w:vMerge/>
          <w:tcBorders>
            <w:bottom w:val="single" w:sz="8" w:space="0" w:color="0070C0"/>
          </w:tcBorders>
          <w:vAlign w:val="center"/>
        </w:tcPr>
        <w:p w14:paraId="2D3E4D90" w14:textId="77777777" w:rsidR="001244CD" w:rsidRDefault="001244CD" w:rsidP="001244CD">
          <w:pPr>
            <w:jc w:val="center"/>
          </w:pPr>
        </w:p>
      </w:tc>
      <w:tc>
        <w:tcPr>
          <w:tcW w:w="3544" w:type="dxa"/>
          <w:vMerge/>
          <w:tcBorders>
            <w:bottom w:val="single" w:sz="8" w:space="0" w:color="0070C0"/>
          </w:tcBorders>
          <w:vAlign w:val="center"/>
        </w:tcPr>
        <w:p w14:paraId="4A3251DF" w14:textId="77777777" w:rsidR="001244CD" w:rsidRPr="00032956" w:rsidRDefault="001244CD" w:rsidP="001244CD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409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077BB992" w14:textId="77777777" w:rsidR="001244CD" w:rsidRPr="00645211" w:rsidRDefault="001244CD" w:rsidP="001244CD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308ADC8C" w14:textId="2F8DBE83" w:rsidR="001244CD" w:rsidRPr="00645211" w:rsidRDefault="001244CD" w:rsidP="001244CD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945C43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40EC49BE" w14:textId="77777777" w:rsidR="001244CD" w:rsidRDefault="001244CD" w:rsidP="00124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F8"/>
    <w:multiLevelType w:val="hybridMultilevel"/>
    <w:tmpl w:val="A808C6F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600F9"/>
    <w:multiLevelType w:val="hybridMultilevel"/>
    <w:tmpl w:val="FB686262"/>
    <w:lvl w:ilvl="0" w:tplc="DD8CDE80">
      <w:start w:val="1"/>
      <w:numFmt w:val="decimal"/>
      <w:lvlText w:val="%1."/>
      <w:lvlJc w:val="left"/>
      <w:pPr>
        <w:ind w:left="720" w:hanging="360"/>
      </w:pPr>
    </w:lvl>
    <w:lvl w:ilvl="1" w:tplc="5320772C">
      <w:numFmt w:val="decimal"/>
      <w:lvlText w:val=""/>
      <w:lvlJc w:val="left"/>
    </w:lvl>
    <w:lvl w:ilvl="2" w:tplc="771603A0">
      <w:numFmt w:val="decimal"/>
      <w:lvlText w:val=""/>
      <w:lvlJc w:val="left"/>
    </w:lvl>
    <w:lvl w:ilvl="3" w:tplc="51C082F6">
      <w:numFmt w:val="decimal"/>
      <w:lvlText w:val=""/>
      <w:lvlJc w:val="left"/>
    </w:lvl>
    <w:lvl w:ilvl="4" w:tplc="99049C50">
      <w:numFmt w:val="decimal"/>
      <w:lvlText w:val=""/>
      <w:lvlJc w:val="left"/>
    </w:lvl>
    <w:lvl w:ilvl="5" w:tplc="3DD0D202">
      <w:numFmt w:val="decimal"/>
      <w:lvlText w:val=""/>
      <w:lvlJc w:val="left"/>
    </w:lvl>
    <w:lvl w:ilvl="6" w:tplc="45A07952">
      <w:numFmt w:val="decimal"/>
      <w:lvlText w:val=""/>
      <w:lvlJc w:val="left"/>
    </w:lvl>
    <w:lvl w:ilvl="7" w:tplc="AF4C7B8A">
      <w:numFmt w:val="decimal"/>
      <w:lvlText w:val=""/>
      <w:lvlJc w:val="left"/>
    </w:lvl>
    <w:lvl w:ilvl="8" w:tplc="D07EF9BA">
      <w:numFmt w:val="decimal"/>
      <w:lvlText w:val=""/>
      <w:lvlJc w:val="left"/>
    </w:lvl>
  </w:abstractNum>
  <w:abstractNum w:abstractNumId="2" w15:restartNumberingAfterBreak="0">
    <w:nsid w:val="05454503"/>
    <w:multiLevelType w:val="hybridMultilevel"/>
    <w:tmpl w:val="8780C11E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3F053E"/>
    <w:multiLevelType w:val="hybridMultilevel"/>
    <w:tmpl w:val="28B4CA60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9539ED"/>
    <w:multiLevelType w:val="hybridMultilevel"/>
    <w:tmpl w:val="EC006786"/>
    <w:lvl w:ilvl="0" w:tplc="F8965A66">
      <w:start w:val="1"/>
      <w:numFmt w:val="bullet"/>
      <w:lvlText w:val="•"/>
      <w:lvlJc w:val="left"/>
      <w:pPr>
        <w:ind w:left="720" w:hanging="360"/>
      </w:pPr>
    </w:lvl>
    <w:lvl w:ilvl="1" w:tplc="987C35FE">
      <w:start w:val="1"/>
      <w:numFmt w:val="bullet"/>
      <w:lvlText w:val="–"/>
      <w:lvlJc w:val="left"/>
      <w:pPr>
        <w:ind w:left="1080" w:hanging="360"/>
      </w:pPr>
    </w:lvl>
    <w:lvl w:ilvl="2" w:tplc="E3D02F6A">
      <w:numFmt w:val="decimal"/>
      <w:lvlText w:val=""/>
      <w:lvlJc w:val="left"/>
    </w:lvl>
    <w:lvl w:ilvl="3" w:tplc="867E251C">
      <w:numFmt w:val="decimal"/>
      <w:lvlText w:val=""/>
      <w:lvlJc w:val="left"/>
    </w:lvl>
    <w:lvl w:ilvl="4" w:tplc="E9EA4A82">
      <w:numFmt w:val="decimal"/>
      <w:lvlText w:val=""/>
      <w:lvlJc w:val="left"/>
    </w:lvl>
    <w:lvl w:ilvl="5" w:tplc="E930614E">
      <w:numFmt w:val="decimal"/>
      <w:lvlText w:val=""/>
      <w:lvlJc w:val="left"/>
    </w:lvl>
    <w:lvl w:ilvl="6" w:tplc="5E508848">
      <w:numFmt w:val="decimal"/>
      <w:lvlText w:val=""/>
      <w:lvlJc w:val="left"/>
    </w:lvl>
    <w:lvl w:ilvl="7" w:tplc="B14C62C2">
      <w:numFmt w:val="decimal"/>
      <w:lvlText w:val=""/>
      <w:lvlJc w:val="left"/>
    </w:lvl>
    <w:lvl w:ilvl="8" w:tplc="1B82C1CE">
      <w:numFmt w:val="decimal"/>
      <w:lvlText w:val=""/>
      <w:lvlJc w:val="left"/>
    </w:lvl>
  </w:abstractNum>
  <w:abstractNum w:abstractNumId="5" w15:restartNumberingAfterBreak="0">
    <w:nsid w:val="22FA14A4"/>
    <w:multiLevelType w:val="hybridMultilevel"/>
    <w:tmpl w:val="55109C7C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3D1F10"/>
    <w:multiLevelType w:val="hybridMultilevel"/>
    <w:tmpl w:val="FB686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A03DD8"/>
    <w:multiLevelType w:val="hybridMultilevel"/>
    <w:tmpl w:val="FB686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BF0D18"/>
    <w:multiLevelType w:val="hybridMultilevel"/>
    <w:tmpl w:val="AF980DA0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7586D1C"/>
    <w:multiLevelType w:val="hybridMultilevel"/>
    <w:tmpl w:val="11E61164"/>
    <w:lvl w:ilvl="0" w:tplc="9B882E70">
      <w:start w:val="1"/>
      <w:numFmt w:val="bullet"/>
      <w:lvlText w:val="●"/>
      <w:lvlJc w:val="left"/>
      <w:pPr>
        <w:ind w:left="720" w:hanging="360"/>
      </w:pPr>
    </w:lvl>
    <w:lvl w:ilvl="1" w:tplc="DE0AB77A">
      <w:start w:val="1"/>
      <w:numFmt w:val="bullet"/>
      <w:lvlText w:val="○"/>
      <w:lvlJc w:val="left"/>
      <w:pPr>
        <w:ind w:left="1440" w:hanging="360"/>
      </w:pPr>
    </w:lvl>
    <w:lvl w:ilvl="2" w:tplc="7970368E">
      <w:start w:val="1"/>
      <w:numFmt w:val="bullet"/>
      <w:lvlText w:val="■"/>
      <w:lvlJc w:val="left"/>
      <w:pPr>
        <w:ind w:left="2160" w:hanging="360"/>
      </w:pPr>
    </w:lvl>
    <w:lvl w:ilvl="3" w:tplc="64B04924">
      <w:start w:val="1"/>
      <w:numFmt w:val="bullet"/>
      <w:lvlText w:val="●"/>
      <w:lvlJc w:val="left"/>
      <w:pPr>
        <w:ind w:left="2880" w:hanging="360"/>
      </w:pPr>
    </w:lvl>
    <w:lvl w:ilvl="4" w:tplc="4852D19C">
      <w:start w:val="1"/>
      <w:numFmt w:val="bullet"/>
      <w:lvlText w:val="○"/>
      <w:lvlJc w:val="left"/>
      <w:pPr>
        <w:ind w:left="3600" w:hanging="360"/>
      </w:pPr>
    </w:lvl>
    <w:lvl w:ilvl="5" w:tplc="D14847B8">
      <w:start w:val="1"/>
      <w:numFmt w:val="bullet"/>
      <w:lvlText w:val="■"/>
      <w:lvlJc w:val="left"/>
      <w:pPr>
        <w:ind w:left="4320" w:hanging="360"/>
      </w:pPr>
    </w:lvl>
    <w:lvl w:ilvl="6" w:tplc="F22C0A0C">
      <w:start w:val="1"/>
      <w:numFmt w:val="bullet"/>
      <w:lvlText w:val="●"/>
      <w:lvlJc w:val="left"/>
      <w:pPr>
        <w:ind w:left="5040" w:hanging="360"/>
      </w:pPr>
    </w:lvl>
    <w:lvl w:ilvl="7" w:tplc="CDDA9E8E">
      <w:start w:val="1"/>
      <w:numFmt w:val="bullet"/>
      <w:lvlText w:val="●"/>
      <w:lvlJc w:val="left"/>
      <w:pPr>
        <w:ind w:left="5760" w:hanging="360"/>
      </w:pPr>
    </w:lvl>
    <w:lvl w:ilvl="8" w:tplc="5714ECD2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71692BFA"/>
    <w:multiLevelType w:val="hybridMultilevel"/>
    <w:tmpl w:val="FB686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BCE662D"/>
    <w:multiLevelType w:val="hybridMultilevel"/>
    <w:tmpl w:val="2C984C3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6067305">
    <w:abstractNumId w:val="9"/>
    <w:lvlOverride w:ilvl="0">
      <w:startOverride w:val="1"/>
    </w:lvlOverride>
  </w:num>
  <w:num w:numId="2" w16cid:durableId="188105251">
    <w:abstractNumId w:val="4"/>
    <w:lvlOverride w:ilvl="0">
      <w:startOverride w:val="1"/>
    </w:lvlOverride>
  </w:num>
  <w:num w:numId="3" w16cid:durableId="463161573">
    <w:abstractNumId w:val="1"/>
    <w:lvlOverride w:ilvl="0">
      <w:startOverride w:val="1"/>
    </w:lvlOverride>
  </w:num>
  <w:num w:numId="4" w16cid:durableId="1798257094">
    <w:abstractNumId w:val="4"/>
  </w:num>
  <w:num w:numId="5" w16cid:durableId="228922309">
    <w:abstractNumId w:val="11"/>
  </w:num>
  <w:num w:numId="6" w16cid:durableId="2055763397">
    <w:abstractNumId w:val="8"/>
  </w:num>
  <w:num w:numId="7" w16cid:durableId="1379817742">
    <w:abstractNumId w:val="1"/>
  </w:num>
  <w:num w:numId="8" w16cid:durableId="1654143168">
    <w:abstractNumId w:val="6"/>
  </w:num>
  <w:num w:numId="9" w16cid:durableId="312491830">
    <w:abstractNumId w:val="5"/>
  </w:num>
  <w:num w:numId="10" w16cid:durableId="1319184708">
    <w:abstractNumId w:val="2"/>
  </w:num>
  <w:num w:numId="11" w16cid:durableId="1216773909">
    <w:abstractNumId w:val="3"/>
  </w:num>
  <w:num w:numId="12" w16cid:durableId="1296910908">
    <w:abstractNumId w:val="7"/>
  </w:num>
  <w:num w:numId="13" w16cid:durableId="1393234105">
    <w:abstractNumId w:val="10"/>
  </w:num>
  <w:num w:numId="14" w16cid:durableId="808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D1"/>
    <w:rsid w:val="001244CD"/>
    <w:rsid w:val="00221ED1"/>
    <w:rsid w:val="00592BA3"/>
    <w:rsid w:val="00945C43"/>
    <w:rsid w:val="00C63419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CD790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CD"/>
  </w:style>
  <w:style w:type="paragraph" w:styleId="Footer">
    <w:name w:val="footer"/>
    <w:basedOn w:val="Normal"/>
    <w:link w:val="FooterChar"/>
    <w:uiPriority w:val="99"/>
    <w:unhideWhenUsed/>
    <w:rsid w:val="00124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CD"/>
  </w:style>
  <w:style w:type="character" w:customStyle="1" w:styleId="Heading1Char">
    <w:name w:val="Heading 1 Char"/>
    <w:link w:val="Heading1"/>
    <w:uiPriority w:val="9"/>
    <w:rsid w:val="001244CD"/>
    <w:rPr>
      <w:b/>
      <w:bCs/>
      <w:color w:val="1A3A5C"/>
      <w:sz w:val="30"/>
      <w:szCs w:val="30"/>
    </w:rPr>
  </w:style>
  <w:style w:type="table" w:styleId="TableGrid">
    <w:name w:val="Table Grid"/>
    <w:basedOn w:val="TableNormal"/>
    <w:uiPriority w:val="39"/>
    <w:rsid w:val="001244C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1501</Words>
  <Characters>9907</Characters>
  <Application>Microsoft Office Word</Application>
  <DocSecurity>0</DocSecurity>
  <Lines>283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Pro zastupanje (vl. Vjeko Peretić)</Company>
  <LinksUpToDate>false</LinksUpToDate>
  <CharactersWithSpaces>11241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 Pro zastupanje (vl. Vjeko Peretić)</dc:title>
  <dc:subject/>
  <dc:creator>Daniel Bara</dc:creator>
  <cp:keywords>FIN-POL-ZOP-v3.0</cp:keywords>
  <dc:description/>
  <cp:lastModifiedBy>Daniel Bara</cp:lastModifiedBy>
  <cp:revision>3</cp:revision>
  <dcterms:created xsi:type="dcterms:W3CDTF">2026-03-15T22:33:00Z</dcterms:created>
  <dcterms:modified xsi:type="dcterms:W3CDTF">2026-03-16T16:14:00Z</dcterms:modified>
  <cp:category/>
</cp:coreProperties>
</file>