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1B7D" w14:textId="77777777" w:rsidR="00733BBA" w:rsidRPr="0025725F" w:rsidRDefault="00733BBA" w:rsidP="0025725F">
      <w:pPr>
        <w:spacing w:after="120"/>
        <w:jc w:val="both"/>
        <w:rPr>
          <w:rFonts w:ascii="Montserrat" w:hAnsi="Montserrat"/>
        </w:rPr>
      </w:pPr>
    </w:p>
    <w:p w14:paraId="07CCC525" w14:textId="53761D5A" w:rsidR="00733BBA" w:rsidRPr="0025725F" w:rsidRDefault="0025725F" w:rsidP="0025725F">
      <w:pPr>
        <w:spacing w:after="120"/>
        <w:jc w:val="center"/>
        <w:rPr>
          <w:rFonts w:ascii="Montserrat" w:hAnsi="Montserrat"/>
          <w:color w:val="00405A"/>
        </w:rPr>
      </w:pPr>
      <w:r w:rsidRPr="0025725F">
        <w:rPr>
          <w:rFonts w:ascii="Montserrat" w:hAnsi="Montserrat"/>
          <w:b/>
          <w:bCs/>
          <w:color w:val="00405A"/>
          <w:sz w:val="34"/>
          <w:szCs w:val="34"/>
        </w:rPr>
        <w:t>POLITIKA SIGURNOSTI INFORMACIJSKOG SUSTAVA</w:t>
      </w:r>
    </w:p>
    <w:p w14:paraId="55B3DF20" w14:textId="77777777" w:rsidR="00733BBA" w:rsidRPr="0025725F" w:rsidRDefault="00733BBA" w:rsidP="0025725F">
      <w:pPr>
        <w:spacing w:after="120"/>
        <w:jc w:val="both"/>
        <w:rPr>
          <w:rFonts w:ascii="Montserrat" w:hAnsi="Montserrat"/>
        </w:rPr>
      </w:pPr>
    </w:p>
    <w:p w14:paraId="7083C1CA" w14:textId="77777777" w:rsidR="00733BBA" w:rsidRPr="0025725F" w:rsidRDefault="00000000" w:rsidP="0025725F">
      <w:pPr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Verzija: </w:t>
      </w:r>
      <w:r w:rsidRPr="0025725F">
        <w:rPr>
          <w:rFonts w:ascii="Montserrat" w:hAnsi="Montserrat"/>
          <w:color w:val="1A1A1A"/>
        </w:rPr>
        <w:t>2.0</w:t>
      </w:r>
    </w:p>
    <w:p w14:paraId="09AE4332" w14:textId="4A686341" w:rsidR="00733BBA" w:rsidRPr="0025725F" w:rsidRDefault="00000000" w:rsidP="0025725F">
      <w:pPr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Datum: </w:t>
      </w:r>
      <w:r w:rsidRPr="0025725F">
        <w:rPr>
          <w:rFonts w:ascii="Montserrat" w:hAnsi="Montserrat"/>
          <w:color w:val="1A1A1A"/>
        </w:rPr>
        <w:t>1</w:t>
      </w:r>
      <w:r w:rsidR="00274B8F">
        <w:rPr>
          <w:rFonts w:ascii="Montserrat" w:hAnsi="Montserrat"/>
          <w:color w:val="1A1A1A"/>
        </w:rPr>
        <w:t>5</w:t>
      </w:r>
      <w:r w:rsidRPr="0025725F">
        <w:rPr>
          <w:rFonts w:ascii="Montserrat" w:hAnsi="Montserrat"/>
          <w:color w:val="1A1A1A"/>
        </w:rPr>
        <w:t>. 0</w:t>
      </w:r>
      <w:r w:rsidR="00274B8F">
        <w:rPr>
          <w:rFonts w:ascii="Montserrat" w:hAnsi="Montserrat"/>
          <w:color w:val="1A1A1A"/>
        </w:rPr>
        <w:t>7</w:t>
      </w:r>
      <w:r w:rsidRPr="0025725F">
        <w:rPr>
          <w:rFonts w:ascii="Montserrat" w:hAnsi="Montserrat"/>
          <w:color w:val="1A1A1A"/>
        </w:rPr>
        <w:t>. 202</w:t>
      </w:r>
      <w:r w:rsidR="00274B8F">
        <w:rPr>
          <w:rFonts w:ascii="Montserrat" w:hAnsi="Montserrat"/>
          <w:color w:val="1A1A1A"/>
        </w:rPr>
        <w:t>5</w:t>
      </w:r>
      <w:r w:rsidRPr="0025725F">
        <w:rPr>
          <w:rFonts w:ascii="Montserrat" w:hAnsi="Montserrat"/>
          <w:color w:val="1A1A1A"/>
        </w:rPr>
        <w:t>.</w:t>
      </w:r>
    </w:p>
    <w:p w14:paraId="7D547C59" w14:textId="11C75202" w:rsidR="00733BBA" w:rsidRPr="0025725F" w:rsidRDefault="00000000" w:rsidP="0025725F">
      <w:pPr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Vlasnik dokumenta: </w:t>
      </w:r>
      <w:r w:rsidRPr="0025725F">
        <w:rPr>
          <w:rFonts w:ascii="Montserrat" w:hAnsi="Montserrat"/>
          <w:color w:val="1A1A1A"/>
        </w:rPr>
        <w:t>Uprava / DPO</w:t>
      </w:r>
    </w:p>
    <w:p w14:paraId="2D336276" w14:textId="77777777" w:rsidR="00733BBA" w:rsidRPr="0025725F" w:rsidRDefault="00000000" w:rsidP="0025725F">
      <w:pPr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Klasifikacija: </w:t>
      </w:r>
      <w:r w:rsidRPr="0025725F">
        <w:rPr>
          <w:rFonts w:ascii="Montserrat" w:hAnsi="Montserrat"/>
          <w:color w:val="1A1A1A"/>
        </w:rPr>
        <w:t>Interno</w:t>
      </w:r>
    </w:p>
    <w:p w14:paraId="27551393" w14:textId="77777777" w:rsidR="00733BBA" w:rsidRPr="0025725F" w:rsidRDefault="00000000" w:rsidP="0025725F">
      <w:pPr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Status: </w:t>
      </w:r>
      <w:r w:rsidRPr="0025725F">
        <w:rPr>
          <w:rFonts w:ascii="Montserrat" w:hAnsi="Montserrat"/>
          <w:color w:val="1A1A1A"/>
        </w:rPr>
        <w:t>Na snazi</w:t>
      </w:r>
    </w:p>
    <w:p w14:paraId="3937EC7B" w14:textId="77777777" w:rsidR="0025725F" w:rsidRDefault="0025725F" w:rsidP="0025725F">
      <w:pPr>
        <w:pStyle w:val="Heading1"/>
        <w:spacing w:before="0"/>
        <w:jc w:val="both"/>
      </w:pPr>
    </w:p>
    <w:p w14:paraId="7CC7E012" w14:textId="7550D63E" w:rsidR="00733BBA" w:rsidRPr="0025725F" w:rsidRDefault="00000000" w:rsidP="0025725F">
      <w:pPr>
        <w:pStyle w:val="Heading1"/>
        <w:spacing w:before="0" w:line="240" w:lineRule="auto"/>
        <w:ind w:left="432" w:hanging="432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t>1. Uvod i svrha</w:t>
      </w:r>
    </w:p>
    <w:p w14:paraId="1AEC082E" w14:textId="34C31954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Fintastic grupa (Pro savjetovanje d.o.o., Pro intermedius d.o.o. i Pro zastupanje) posluje u reguliranom financijskom sektoru i obrađuje osjetljive osobne i financijske podatke klijenata. Ova Politika definira okvir zaštite informacijskog sustava i zamjenjuje prethodne IT pravilnike svakog pojedinog subjekta.</w:t>
      </w:r>
      <w:r w:rsidR="0025725F">
        <w:rPr>
          <w:rFonts w:ascii="Montserrat" w:hAnsi="Montserrat"/>
          <w:color w:val="1A1A1A"/>
        </w:rPr>
        <w:t xml:space="preserve"> </w:t>
      </w:r>
    </w:p>
    <w:p w14:paraId="37FF3779" w14:textId="7CF90B3F" w:rsidR="00733BBA" w:rsidRDefault="00000000" w:rsidP="0025725F">
      <w:p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Svrha: osigurati povjerljivost, cjelovitost i dostupnost svih informacija Fintastic grupe te ispuniti zahtjeve GDPR-a, HNB-a, HANFA-e i Ministarstva financija.</w:t>
      </w:r>
    </w:p>
    <w:p w14:paraId="228BC316" w14:textId="77777777" w:rsidR="0025725F" w:rsidRPr="0025725F" w:rsidRDefault="0025725F" w:rsidP="0025725F">
      <w:pPr>
        <w:spacing w:after="120"/>
        <w:jc w:val="both"/>
        <w:rPr>
          <w:rFonts w:ascii="Montserrat" w:hAnsi="Montserrat"/>
        </w:rPr>
      </w:pPr>
    </w:p>
    <w:p w14:paraId="54FFDCB8" w14:textId="77777777" w:rsidR="00733BBA" w:rsidRPr="0025725F" w:rsidRDefault="00000000" w:rsidP="0025725F">
      <w:pPr>
        <w:pStyle w:val="Heading1"/>
        <w:spacing w:before="0" w:line="240" w:lineRule="auto"/>
        <w:ind w:left="432" w:hanging="432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t>2. Područje primjene</w:t>
      </w:r>
    </w:p>
    <w:p w14:paraId="76C36EC9" w14:textId="77777777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Politika se primjenjuje na sve zaposlenike, vanjske suradnike i treće strane koje pristupaju informacijskim sustavima Fintastic grupe, uključujući:</w:t>
      </w:r>
    </w:p>
    <w:p w14:paraId="427DFD18" w14:textId="77777777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Microsoft 365 (Exchange, SharePoint, OneDrive, Teams)</w:t>
      </w:r>
    </w:p>
    <w:p w14:paraId="76636718" w14:textId="77777777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Zajednički CRM sustav Fintastic grupe</w:t>
      </w:r>
    </w:p>
    <w:p w14:paraId="5E76FAB4" w14:textId="77777777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Portale partnerskih banaka i osiguravatelja</w:t>
      </w:r>
    </w:p>
    <w:p w14:paraId="157CB651" w14:textId="77777777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Lokalne uređaje (laptopi, mobiteli, tableti) korišteni u poslovne svrhe</w:t>
      </w:r>
    </w:p>
    <w:p w14:paraId="6C6AFC9E" w14:textId="77777777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Komunikacijske aplikacije (WhatsApp, Viber, Messenger) – kad se koriste u poslovne svrhe</w:t>
      </w:r>
    </w:p>
    <w:p w14:paraId="064AFC10" w14:textId="4F61FB78" w:rsidR="00733BBA" w:rsidRPr="0025725F" w:rsidRDefault="00000000" w:rsidP="0025725F">
      <w:pPr>
        <w:pStyle w:val="ListParagraph"/>
        <w:numPr>
          <w:ilvl w:val="0"/>
          <w:numId w:val="4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Fizičku dokumentaciju koja sadrži osobne i financijske podatke</w:t>
      </w:r>
    </w:p>
    <w:p w14:paraId="16D1E360" w14:textId="77777777" w:rsidR="0025725F" w:rsidRPr="0025725F" w:rsidRDefault="0025725F" w:rsidP="0025725F">
      <w:pPr>
        <w:spacing w:after="120"/>
        <w:jc w:val="both"/>
        <w:rPr>
          <w:rFonts w:ascii="Montserrat" w:hAnsi="Montserrat"/>
          <w:color w:val="1A1A1A"/>
        </w:rPr>
      </w:pPr>
    </w:p>
    <w:p w14:paraId="05B4A0DF" w14:textId="14839403" w:rsidR="00733BBA" w:rsidRPr="0025725F" w:rsidRDefault="00000000" w:rsidP="0025725F">
      <w:pPr>
        <w:pStyle w:val="Heading1"/>
        <w:spacing w:before="0" w:line="240" w:lineRule="auto"/>
        <w:ind w:left="432" w:hanging="432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t>3. Klasifikacija informacijske imovine</w:t>
      </w:r>
    </w:p>
    <w:p w14:paraId="7D8C412E" w14:textId="77777777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Klasa 3 – Povjerljivo: </w:t>
      </w:r>
      <w:r w:rsidRPr="0025725F">
        <w:rPr>
          <w:rFonts w:ascii="Montserrat" w:hAnsi="Montserrat"/>
          <w:color w:val="1A1A1A"/>
        </w:rPr>
        <w:t>Podaci klijenata (OIB, financijski podaci, kopije isprava), poslovne strategije, DPA ugovori, lozinke. Dijeljenje isključivo ovlaštenim osobama putem zaštićenih kanala.</w:t>
      </w:r>
    </w:p>
    <w:p w14:paraId="08AD8E6E" w14:textId="77777777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Klasa 2 – Za internu uporabu: </w:t>
      </w:r>
      <w:r w:rsidRPr="0025725F">
        <w:rPr>
          <w:rFonts w:ascii="Montserrat" w:hAnsi="Montserrat"/>
          <w:color w:val="1A1A1A"/>
        </w:rPr>
        <w:t>Interni akti, procedure, edukacijski materijali, poslovna komunikacija. Dijeljenje unutar grupe bez posebnog odobrenja.</w:t>
      </w:r>
    </w:p>
    <w:p w14:paraId="639F0E69" w14:textId="67F8B2A6" w:rsidR="0025725F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b/>
          <w:bCs/>
          <w:color w:val="1A3A5C"/>
        </w:rPr>
        <w:t xml:space="preserve">Klasa 1 – Javno: </w:t>
      </w:r>
      <w:r w:rsidRPr="0025725F">
        <w:rPr>
          <w:rFonts w:ascii="Montserrat" w:hAnsi="Montserrat"/>
          <w:color w:val="1A1A1A"/>
        </w:rPr>
        <w:t>Marketinški materijali, objave na webu, pravni podaci na fintastic.hr. Slobodno dijeljenje.</w:t>
      </w:r>
    </w:p>
    <w:p w14:paraId="41B5E708" w14:textId="77777777" w:rsidR="00733BBA" w:rsidRPr="0025725F" w:rsidRDefault="00000000" w:rsidP="0025725F">
      <w:pPr>
        <w:pStyle w:val="Heading1"/>
        <w:spacing w:before="0" w:line="240" w:lineRule="auto"/>
        <w:ind w:left="432" w:hanging="432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lastRenderedPageBreak/>
        <w:t>4. Upravljanje pristupom</w:t>
      </w:r>
    </w:p>
    <w:p w14:paraId="7A6D035B" w14:textId="77777777" w:rsidR="00733BBA" w:rsidRPr="0025725F" w:rsidRDefault="00000000" w:rsidP="0025725F">
      <w:pPr>
        <w:pStyle w:val="Heading2"/>
      </w:pPr>
      <w:r w:rsidRPr="0025725F">
        <w:t>4.1 Opća načela</w:t>
      </w:r>
    </w:p>
    <w:p w14:paraId="4326B803" w14:textId="1B7FFFE8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 xml:space="preserve">Načelo </w:t>
      </w:r>
      <w:r w:rsidRPr="0025725F">
        <w:rPr>
          <w:rFonts w:ascii="Montserrat" w:hAnsi="Montserrat"/>
          <w:i/>
          <w:iCs/>
          <w:color w:val="1A1A1A"/>
        </w:rPr>
        <w:t>potrebno znati</w:t>
      </w:r>
      <w:r w:rsidRPr="0025725F">
        <w:rPr>
          <w:rFonts w:ascii="Montserrat" w:hAnsi="Montserrat"/>
          <w:color w:val="1A1A1A"/>
        </w:rPr>
        <w:t xml:space="preserve"> (need-to-know): svaki zaposlenik ima pristup samo podacima nužnima za obavljanje radnih zadataka</w:t>
      </w:r>
    </w:p>
    <w:p w14:paraId="3F6E31F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Načelo minimalne privilegije: dodjeljuje se minimalna razina pristupa</w:t>
      </w:r>
    </w:p>
    <w:p w14:paraId="017FB9A2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Višefaktorska autentifikacija (MFA): obvezna za CRM, M365, portale banaka i sve sustave klase 3</w:t>
      </w:r>
    </w:p>
    <w:p w14:paraId="1C013AB8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Individualni korisnički računi: zabranjeno dijeljenje računa i lozinki</w:t>
      </w:r>
    </w:p>
    <w:p w14:paraId="202EA4B6" w14:textId="228E86B4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Revizija pristupa: DPO/IT provodi pregled pristupnih prava najmanje jednom godišnje</w:t>
      </w:r>
    </w:p>
    <w:p w14:paraId="3871A32C" w14:textId="77777777" w:rsidR="00733BBA" w:rsidRPr="0025725F" w:rsidRDefault="00000000" w:rsidP="0025725F">
      <w:pPr>
        <w:pStyle w:val="Heading2"/>
      </w:pPr>
      <w:r w:rsidRPr="0025725F">
        <w:t>4.2 Upravljanje lozinkama</w:t>
      </w:r>
    </w:p>
    <w:p w14:paraId="7A8DACA4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Minimalna duljina: 12 znakova</w:t>
      </w:r>
    </w:p>
    <w:p w14:paraId="282511BB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Složenost: kombinacija velikih/malih slova, brojki i posebnih znakova</w:t>
      </w:r>
    </w:p>
    <w:p w14:paraId="3125FA0B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Promjena: pri prvom pristupu i svaka 3 mjeseca (sustavi klase 3), svaka 6 mjeseci (sustavi klase 2)</w:t>
      </w:r>
    </w:p>
    <w:p w14:paraId="18F639F0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Zabrana: korištenje iste lozinke za više sustava; pohranjivanje lozinki u nelicenciranim aplikacijama</w:t>
      </w:r>
    </w:p>
    <w:p w14:paraId="391959AB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MFA je primarni mehanizam – lozinka je sekundarni faktor</w:t>
      </w:r>
    </w:p>
    <w:p w14:paraId="22361419" w14:textId="77777777" w:rsidR="00733BBA" w:rsidRPr="0025725F" w:rsidRDefault="00000000" w:rsidP="0025725F">
      <w:pPr>
        <w:pStyle w:val="Heading2"/>
      </w:pPr>
      <w:r w:rsidRPr="0025725F">
        <w:t>4.3 Upravljanje pristupom pri promjeni radnog statusa</w:t>
      </w:r>
    </w:p>
    <w:p w14:paraId="0FADD9B4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Zaposlenje: pristupna prava dodjeljuju se na temelju radnog mjesta, uz odobrenje nadređenog</w:t>
      </w:r>
    </w:p>
    <w:p w14:paraId="1B8580F8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Promjena radnog mjesta: pristupna prava se bez odgode ažuriraju</w:t>
      </w:r>
    </w:p>
    <w:p w14:paraId="6BB174DF" w14:textId="77777777" w:rsidR="00733BBA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Prestanak radnog odnosa: svi pristupi deaktiviraju se na dan prestanka, oprema se vraća</w:t>
      </w:r>
    </w:p>
    <w:p w14:paraId="2CE56017" w14:textId="77777777" w:rsidR="0025725F" w:rsidRPr="0025725F" w:rsidRDefault="0025725F" w:rsidP="0025725F">
      <w:pPr>
        <w:spacing w:after="120"/>
        <w:jc w:val="both"/>
        <w:rPr>
          <w:rFonts w:ascii="Montserrat" w:hAnsi="Montserrat"/>
          <w:color w:val="1A1A1A"/>
        </w:rPr>
      </w:pPr>
    </w:p>
    <w:p w14:paraId="77A47293" w14:textId="77777777" w:rsidR="00733BBA" w:rsidRPr="0025725F" w:rsidRDefault="00000000" w:rsidP="0025725F">
      <w:pPr>
        <w:pStyle w:val="Heading1"/>
        <w:spacing w:before="0" w:line="240" w:lineRule="auto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t>5. Sigurnost uređaja i radnog mjesta</w:t>
      </w:r>
    </w:p>
    <w:p w14:paraId="7ACC6E61" w14:textId="77777777" w:rsidR="00733BBA" w:rsidRPr="0025725F" w:rsidRDefault="00000000" w:rsidP="0025725F">
      <w:pPr>
        <w:pStyle w:val="Heading2"/>
      </w:pPr>
      <w:r w:rsidRPr="0025725F">
        <w:t>5.1 Fizička sigurnost</w:t>
      </w:r>
    </w:p>
    <w:p w14:paraId="0FB37E8B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Politika čistog stola: dokumenti klase 3 ne ostavljaju se bez nadzora; zaključavaju se u ormaru</w:t>
      </w:r>
    </w:p>
    <w:p w14:paraId="740A6559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Zaključavanje zaslona: uređaj se zaključava odmah pri napustuštanju radnog mjesta (Win+L)</w:t>
      </w:r>
    </w:p>
    <w:p w14:paraId="4DDEF2C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Zabrana iznošenja dokumentacije klase 3 iz poslovnih prostora bez odobrenja</w:t>
      </w:r>
    </w:p>
    <w:p w14:paraId="1C8808BB" w14:textId="77777777" w:rsidR="00733BBA" w:rsidRPr="0025725F" w:rsidRDefault="00000000" w:rsidP="0025725F">
      <w:pPr>
        <w:pStyle w:val="Heading2"/>
      </w:pPr>
      <w:r w:rsidRPr="0025725F">
        <w:t>5.2 Digitalna sigurnost uređaja</w:t>
      </w:r>
    </w:p>
    <w:p w14:paraId="29C3A11C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Antivirusna zaštita i firewall: obvezni na svim poslovnim uređajima</w:t>
      </w:r>
    </w:p>
    <w:p w14:paraId="51088B55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Sigurnosna ažuriranja: instalirati odmah po dostupnosti, bez odgađanja</w:t>
      </w:r>
    </w:p>
    <w:p w14:paraId="4FD625C0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lastRenderedPageBreak/>
        <w:t>Enkripcija diska: obvezna na laptopima (BitLocker ili ekvivalent)</w:t>
      </w:r>
    </w:p>
    <w:p w14:paraId="657329D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Zabrana instalacije neodobrenog softvera</w:t>
      </w:r>
    </w:p>
    <w:p w14:paraId="6EC67395" w14:textId="7D58D686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Privatni uređaji: korištenje u poslovne svrhe samo uz odobrenje i uz iste sigurnosne zahtjeve</w:t>
      </w:r>
    </w:p>
    <w:p w14:paraId="4E4D1AE2" w14:textId="77777777" w:rsidR="00733BBA" w:rsidRPr="0025725F" w:rsidRDefault="00000000" w:rsidP="0025725F">
      <w:pPr>
        <w:pStyle w:val="Heading1"/>
        <w:spacing w:before="0" w:line="240" w:lineRule="auto"/>
        <w:jc w:val="both"/>
        <w:rPr>
          <w:rFonts w:eastAsia="Arial" w:cs="Arial"/>
          <w:color w:val="1A3A5C"/>
          <w:sz w:val="30"/>
          <w:szCs w:val="30"/>
        </w:rPr>
      </w:pPr>
      <w:r w:rsidRPr="0025725F">
        <w:rPr>
          <w:rFonts w:eastAsia="Arial" w:cs="Arial"/>
          <w:color w:val="1A3A5C"/>
          <w:sz w:val="30"/>
          <w:szCs w:val="30"/>
        </w:rPr>
        <w:t>6. Sigurnost komunikacije</w:t>
      </w:r>
    </w:p>
    <w:p w14:paraId="7F0D1E66" w14:textId="77777777" w:rsidR="00733BBA" w:rsidRPr="0025725F" w:rsidRDefault="00000000" w:rsidP="0025725F">
      <w:pPr>
        <w:pStyle w:val="Heading2"/>
      </w:pPr>
      <w:r w:rsidRPr="0025725F">
        <w:t>6.1 E-mail i službena komunikacija</w:t>
      </w:r>
    </w:p>
    <w:p w14:paraId="35542824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Osobni podaci klijenata šalju se isključivo sa službenih @fintastic.hr adresa</w:t>
      </w:r>
    </w:p>
    <w:p w14:paraId="7894B4EE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Prilog s osobnim podacima treba biti zaštićen lozinkom ili poslan putem SharePointa</w:t>
      </w:r>
    </w:p>
    <w:p w14:paraId="7BEE1614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Provjera primatelja prije slanja – posebno kod masovnih mailova (koristiti BCC)</w:t>
      </w:r>
    </w:p>
    <w:p w14:paraId="4CA2859A" w14:textId="2631BB22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Phishing: sumnjive poruke ne otvarati i prijaviti IT-u ili DPO-u</w:t>
      </w:r>
    </w:p>
    <w:p w14:paraId="11EC38F1" w14:textId="77777777" w:rsidR="00733BBA" w:rsidRPr="0025725F" w:rsidRDefault="00000000" w:rsidP="0025725F">
      <w:pPr>
        <w:pStyle w:val="Heading2"/>
      </w:pPr>
      <w:r w:rsidRPr="0025725F">
        <w:t>6.2 WhatsApp i komunikacijske aplikacije</w:t>
      </w:r>
    </w:p>
    <w:p w14:paraId="2E5140C8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Dopušteno: inicijalni kontakt s klijentima, dogovor termina, kratke informacije</w:t>
      </w:r>
    </w:p>
    <w:p w14:paraId="7E2EFA3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Zabranjeno: pohrana osobnih dokumenata (putovnice, ugovori, financijska dokumentacija) u chatovima</w:t>
      </w:r>
    </w:p>
    <w:p w14:paraId="6B420DB5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Obveza: svaki dokument zaprimljen putem WhatsAppa mora se odmah prenijeti u CRM ili SharePoint i izbrisati iz chata</w:t>
      </w:r>
    </w:p>
    <w:p w14:paraId="19A34E76" w14:textId="729EEA89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Zabranjeno: poslovni razgovori u privatnim (nezaslužbenim) grupama</w:t>
      </w:r>
    </w:p>
    <w:p w14:paraId="2905CDB3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t>7. Sigurnosne kopije (Backup)</w:t>
      </w:r>
    </w:p>
    <w:p w14:paraId="5EB114C8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M365 podaci: zaštićeni ugrađenom geo-redundancijom Microsofta (automatski)</w:t>
      </w:r>
    </w:p>
    <w:p w14:paraId="4A7724CE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CRM podaci: backup prema SLA pružatelja CRM-a – provjeriti i dokumentirati</w:t>
      </w:r>
    </w:p>
    <w:p w14:paraId="57CBDF1B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Lokalni podaci: pohrana isključivo u M365/SharePoint; lokalne kopije klase 3 zabranjene</w:t>
      </w:r>
    </w:p>
    <w:p w14:paraId="48B0BACF" w14:textId="7DECB00F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Testiranje oporavka: najmanje jednom godišnje DPO/IT dokumentira uspješnost testa</w:t>
      </w:r>
    </w:p>
    <w:p w14:paraId="3EFB74DC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t>8. Upravljanje rizicima</w:t>
      </w:r>
    </w:p>
    <w:p w14:paraId="4FBEF7B5" w14:textId="77777777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DPO u suradnji s upravom provodi procjenu informacijskih rizika najmanje jednom godišnje. Procjena uzima u obzir:</w:t>
      </w:r>
    </w:p>
    <w:p w14:paraId="6C31C826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Vjerojatnost prijetnje (skala 1–5)</w:t>
      </w:r>
    </w:p>
    <w:p w14:paraId="4CD83B23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Utjecaj na poslovanje i prava klijenata (skala 1–5)</w:t>
      </w:r>
    </w:p>
    <w:p w14:paraId="1E6185C2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Razina rizika = Vjerojatnost × Utjecaj</w:t>
      </w:r>
    </w:p>
    <w:p w14:paraId="43D3E3FD" w14:textId="0774227D" w:rsidR="00733BBA" w:rsidRPr="0025725F" w:rsidRDefault="00000000" w:rsidP="00DC337D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Rizici razine ≥15 zahtijevaju hitnu mjeru ublažavanja. Rezultati procjene dokumentiraju se i dostavljaju upravi.</w:t>
      </w:r>
    </w:p>
    <w:p w14:paraId="32DE4C82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lastRenderedPageBreak/>
        <w:t>9. Edukacija i osvješćivanje</w:t>
      </w:r>
    </w:p>
    <w:p w14:paraId="1529EAC6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Uvodni trening: svaki novi zaposlenik prolazi GDPR i ISMS edukaciju prije prvog pristupa sustavima</w:t>
      </w:r>
    </w:p>
    <w:p w14:paraId="042075B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Godišnja edukacija: obvezna za sve zaposlenike (online ili uživo, s provjerom znanja)</w:t>
      </w:r>
    </w:p>
    <w:p w14:paraId="6C4CE7E6" w14:textId="1771E53D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Evidencija: DPO vodi evidenciju svih provedenih edukacija (FIN-REG-EDUKACIJA)</w:t>
      </w:r>
    </w:p>
    <w:p w14:paraId="5D694994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t>10. Sukladnost s regulatornim zahtjevima</w:t>
      </w:r>
    </w:p>
    <w:p w14:paraId="2B38A9AE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HNB: mjere sukladno Smjernicama HNB-a za upravljanje operativnim rizicima kreditnih posrednika</w:t>
      </w:r>
    </w:p>
    <w:p w14:paraId="37D235CE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HANFA: mjere sukladno Zakonu o osiguranju i pravilima HANFA-e za zastupnike</w:t>
      </w:r>
    </w:p>
    <w:p w14:paraId="1666DF27" w14:textId="77777777" w:rsidR="00733BBA" w:rsidRPr="0025725F" w:rsidRDefault="00000000" w:rsidP="0025725F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GDPR: sve mjere iz ove Politike izravno podupiru TOM zahtjeve iz čl. 32. GDPR-a</w:t>
      </w:r>
    </w:p>
    <w:p w14:paraId="1EB7E16A" w14:textId="4C7D07C5" w:rsidR="00733BBA" w:rsidRPr="00DC337D" w:rsidRDefault="00000000" w:rsidP="00DC337D">
      <w:pPr>
        <w:pStyle w:val="ListParagraph"/>
        <w:numPr>
          <w:ilvl w:val="0"/>
          <w:numId w:val="5"/>
        </w:numPr>
        <w:spacing w:after="120"/>
        <w:jc w:val="both"/>
        <w:rPr>
          <w:rFonts w:ascii="Montserrat" w:hAnsi="Montserrat"/>
          <w:color w:val="1A1A1A"/>
        </w:rPr>
      </w:pPr>
      <w:r w:rsidRPr="0025725F">
        <w:rPr>
          <w:rFonts w:ascii="Montserrat" w:hAnsi="Montserrat"/>
          <w:color w:val="1A1A1A"/>
        </w:rPr>
        <w:t>ZSPNFT (AML): kontrola pristupa i enkripcija podataka klijenata u AML procesima</w:t>
      </w:r>
    </w:p>
    <w:p w14:paraId="0F4F5C34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t>11. Kršenje Politike i sankcije</w:t>
      </w:r>
    </w:p>
    <w:p w14:paraId="3D39A149" w14:textId="739FFFAF" w:rsidR="00733BBA" w:rsidRPr="0025725F" w:rsidRDefault="00000000" w:rsidP="00DC337D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Kršenje ove Politike predstavlja povredu radne obveze i može rezultirati disciplinskim mjerama, raskidom radnog odnosa ili ugovornog odnosa te pravnom odgovornošću. Svako kršenje dokumentira DPO i izvješćuje upravu.</w:t>
      </w:r>
    </w:p>
    <w:p w14:paraId="66ED4376" w14:textId="77777777" w:rsidR="00733BBA" w:rsidRPr="0025725F" w:rsidRDefault="00000000" w:rsidP="0025725F">
      <w:pPr>
        <w:pStyle w:val="Heading1"/>
        <w:spacing w:before="0" w:line="240" w:lineRule="auto"/>
        <w:jc w:val="both"/>
      </w:pPr>
      <w:r w:rsidRPr="0025725F">
        <w:rPr>
          <w:rFonts w:eastAsia="Arial" w:cs="Arial"/>
          <w:color w:val="1A3A5C"/>
          <w:sz w:val="30"/>
          <w:szCs w:val="30"/>
        </w:rPr>
        <w:t>12. Revizija Politike</w:t>
      </w:r>
    </w:p>
    <w:p w14:paraId="3741ECD2" w14:textId="77777777" w:rsidR="00733BBA" w:rsidRPr="0025725F" w:rsidRDefault="00000000" w:rsidP="0025725F">
      <w:pPr>
        <w:spacing w:after="120"/>
        <w:jc w:val="both"/>
        <w:rPr>
          <w:rFonts w:ascii="Montserrat" w:hAnsi="Montserrat"/>
        </w:rPr>
      </w:pPr>
      <w:r w:rsidRPr="0025725F">
        <w:rPr>
          <w:rFonts w:ascii="Montserrat" w:hAnsi="Montserrat"/>
          <w:color w:val="1A1A1A"/>
        </w:rPr>
        <w:t>Ova Politika revidira se najmanje jednom godišnje ili pri svakoj značajnoj promjeni (novi sustavi, regulatorne izmjene, sigurnosni incident).</w:t>
      </w:r>
    </w:p>
    <w:p w14:paraId="0D85F1BD" w14:textId="77777777" w:rsidR="0025725F" w:rsidRDefault="0025725F" w:rsidP="0025725F">
      <w:pPr>
        <w:spacing w:after="120"/>
        <w:jc w:val="both"/>
        <w:rPr>
          <w:rFonts w:ascii="Montserrat" w:hAnsi="Montserrat"/>
        </w:rPr>
      </w:pPr>
    </w:p>
    <w:p w14:paraId="1E76376D" w14:textId="037CD7D1" w:rsidR="0025725F" w:rsidRDefault="0025725F" w:rsidP="0025725F">
      <w:pPr>
        <w:spacing w:after="120"/>
        <w:jc w:val="both"/>
        <w:rPr>
          <w:rFonts w:ascii="Montserrat" w:hAnsi="Montserrat"/>
        </w:rPr>
      </w:pPr>
      <w:r>
        <w:rPr>
          <w:rFonts w:ascii="Montserrat" w:hAnsi="Montserrat"/>
        </w:rPr>
        <w:t>U Zagrebu, 15,.7.2025.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8"/>
      </w:tblGrid>
      <w:tr w:rsidR="0025725F" w14:paraId="74E32F37" w14:textId="77777777" w:rsidTr="0025725F">
        <w:tc>
          <w:tcPr>
            <w:tcW w:w="3686" w:type="dxa"/>
            <w:vAlign w:val="center"/>
          </w:tcPr>
          <w:p w14:paraId="4625B7A2" w14:textId="25367294" w:rsidR="0025725F" w:rsidRDefault="0025725F" w:rsidP="0025725F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1276" w:type="dxa"/>
            <w:vAlign w:val="center"/>
          </w:tcPr>
          <w:p w14:paraId="30028A62" w14:textId="77777777" w:rsidR="0025725F" w:rsidRDefault="0025725F" w:rsidP="0025725F">
            <w:pPr>
              <w:spacing w:after="120"/>
              <w:jc w:val="center"/>
              <w:rPr>
                <w:rFonts w:ascii="Montserrat" w:hAnsi="Montserrat"/>
              </w:rPr>
            </w:pPr>
          </w:p>
        </w:tc>
        <w:tc>
          <w:tcPr>
            <w:tcW w:w="4098" w:type="dxa"/>
            <w:vAlign w:val="center"/>
          </w:tcPr>
          <w:p w14:paraId="0DEB9A7A" w14:textId="77777777" w:rsidR="0025725F" w:rsidRDefault="0025725F" w:rsidP="0025725F">
            <w:pPr>
              <w:jc w:val="center"/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</w:pPr>
            <w:r w:rsidRPr="0025725F">
              <w:rPr>
                <w:rFonts w:ascii="Montserrat" w:eastAsia="Arial" w:hAnsi="Montserrat" w:cs="Arial"/>
                <w:b/>
                <w:bCs/>
                <w:color w:val="1A3A5C"/>
                <w:sz w:val="22"/>
                <w:szCs w:val="22"/>
              </w:rPr>
              <w:t>Hrvoje Travnikar</w:t>
            </w:r>
          </w:p>
          <w:p w14:paraId="1157EB1B" w14:textId="07B0D05F" w:rsidR="0025725F" w:rsidRDefault="0025725F" w:rsidP="0025725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(član uprave)</w:t>
            </w:r>
          </w:p>
        </w:tc>
      </w:tr>
      <w:tr w:rsidR="0025725F" w14:paraId="0E8D88B1" w14:textId="77777777" w:rsidTr="00D03FC2">
        <w:tc>
          <w:tcPr>
            <w:tcW w:w="3686" w:type="dxa"/>
          </w:tcPr>
          <w:p w14:paraId="4A974AF7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923B47B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</w:tcPr>
          <w:p w14:paraId="59CFA8DA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25725F" w14:paraId="72D246A4" w14:textId="77777777" w:rsidTr="00D03FC2">
        <w:tc>
          <w:tcPr>
            <w:tcW w:w="3686" w:type="dxa"/>
            <w:tcBorders>
              <w:bottom w:val="single" w:sz="4" w:space="0" w:color="00405A"/>
            </w:tcBorders>
          </w:tcPr>
          <w:p w14:paraId="66C1AB71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1276" w:type="dxa"/>
          </w:tcPr>
          <w:p w14:paraId="2EDAF048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  <w:tc>
          <w:tcPr>
            <w:tcW w:w="4098" w:type="dxa"/>
            <w:tcBorders>
              <w:bottom w:val="single" w:sz="4" w:space="0" w:color="00405A"/>
            </w:tcBorders>
          </w:tcPr>
          <w:p w14:paraId="2040D905" w14:textId="77777777" w:rsidR="0025725F" w:rsidRDefault="0025725F" w:rsidP="00D03FC2">
            <w:pPr>
              <w:spacing w:after="120"/>
              <w:jc w:val="both"/>
              <w:rPr>
                <w:rFonts w:ascii="Montserrat" w:hAnsi="Montserrat"/>
              </w:rPr>
            </w:pPr>
          </w:p>
        </w:tc>
      </w:tr>
      <w:tr w:rsidR="0025725F" w:rsidRPr="00997878" w14:paraId="1E24FED0" w14:textId="77777777" w:rsidTr="00D03FC2">
        <w:tc>
          <w:tcPr>
            <w:tcW w:w="3686" w:type="dxa"/>
            <w:tcBorders>
              <w:top w:val="single" w:sz="4" w:space="0" w:color="00405A"/>
            </w:tcBorders>
          </w:tcPr>
          <w:p w14:paraId="07ECF9C4" w14:textId="460F59BF" w:rsidR="0025725F" w:rsidRPr="00997878" w:rsidRDefault="0025725F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36952B" w14:textId="77777777" w:rsidR="0025725F" w:rsidRPr="00997878" w:rsidRDefault="0025725F" w:rsidP="00D03FC2">
            <w:pPr>
              <w:spacing w:after="120"/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00405A"/>
            </w:tcBorders>
          </w:tcPr>
          <w:p w14:paraId="2E05589B" w14:textId="77777777" w:rsidR="0025725F" w:rsidRPr="00997878" w:rsidRDefault="0025725F" w:rsidP="00D03FC2">
            <w:pPr>
              <w:spacing w:after="120"/>
              <w:jc w:val="center"/>
              <w:rPr>
                <w:rFonts w:ascii="Montserrat" w:hAnsi="Montserrat"/>
                <w:sz w:val="18"/>
                <w:szCs w:val="18"/>
              </w:rPr>
            </w:pPr>
            <w:r w:rsidRPr="00997878">
              <w:rPr>
                <w:rFonts w:ascii="Montserrat" w:hAnsi="Montserrat"/>
                <w:sz w:val="18"/>
                <w:szCs w:val="18"/>
              </w:rPr>
              <w:t>Potpis</w:t>
            </w:r>
          </w:p>
        </w:tc>
      </w:tr>
    </w:tbl>
    <w:p w14:paraId="6C491B52" w14:textId="7A676B0B" w:rsidR="00733BBA" w:rsidRPr="0025725F" w:rsidRDefault="00733BBA" w:rsidP="0025725F">
      <w:pPr>
        <w:spacing w:after="120"/>
        <w:jc w:val="both"/>
        <w:rPr>
          <w:rFonts w:ascii="Montserrat" w:hAnsi="Montserrat"/>
        </w:rPr>
      </w:pPr>
    </w:p>
    <w:sectPr w:rsidR="00733BBA" w:rsidRPr="0025725F" w:rsidSect="0025725F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6E84" w14:textId="77777777" w:rsidR="002B1413" w:rsidRDefault="002B1413" w:rsidP="0025725F">
      <w:r>
        <w:separator/>
      </w:r>
    </w:p>
  </w:endnote>
  <w:endnote w:type="continuationSeparator" w:id="0">
    <w:p w14:paraId="36BB589F" w14:textId="77777777" w:rsidR="002B1413" w:rsidRDefault="002B1413" w:rsidP="0025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70C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407"/>
    </w:tblGrid>
    <w:tr w:rsidR="0078755A" w:rsidRPr="002A2ACD" w14:paraId="431E06B0" w14:textId="77777777" w:rsidTr="0078755A">
      <w:tc>
        <w:tcPr>
          <w:tcW w:w="2127" w:type="dxa"/>
        </w:tcPr>
        <w:p w14:paraId="37AFD43C" w14:textId="77777777" w:rsidR="0078755A" w:rsidRPr="00FD41F4" w:rsidRDefault="0078755A" w:rsidP="0078755A">
          <w:pPr>
            <w:pStyle w:val="Footer"/>
            <w:jc w:val="center"/>
            <w:rPr>
              <w:rFonts w:ascii="Montserrat" w:hAnsi="Montserrat"/>
              <w:sz w:val="18"/>
              <w:szCs w:val="18"/>
            </w:rPr>
          </w:pPr>
          <w:r w:rsidRPr="00D82B1E">
            <w:rPr>
              <w:rFonts w:ascii="Montserrat" w:hAnsi="Montserrat"/>
              <w:b/>
              <w:bCs/>
              <w:color w:val="00405A"/>
              <w:sz w:val="15"/>
              <w:szCs w:val="15"/>
            </w:rPr>
            <w:t>FANTASTIČNE FINANCIJSKE ODLUKE</w:t>
          </w:r>
        </w:p>
      </w:tc>
      <w:tc>
        <w:tcPr>
          <w:tcW w:w="4536" w:type="dxa"/>
        </w:tcPr>
        <w:p w14:paraId="6F6DCCB9" w14:textId="77777777" w:rsidR="0078755A" w:rsidRPr="00997878" w:rsidRDefault="0078755A" w:rsidP="0078755A">
          <w:pPr>
            <w:pStyle w:val="Footer"/>
            <w:jc w:val="center"/>
            <w:rPr>
              <w:rFonts w:ascii="Montserrat" w:hAnsi="Montserrat"/>
              <w:color w:val="00405A"/>
            </w:rPr>
          </w:pPr>
          <w:r w:rsidRPr="00997878">
            <w:rPr>
              <w:rFonts w:ascii="Montserrat" w:hAnsi="Montserrat"/>
              <w:color w:val="00405A"/>
              <w:sz w:val="15"/>
              <w:szCs w:val="15"/>
            </w:rPr>
            <w:t>Fintastic – Pro savjetovanje d.o.o. | Pro intermedius d.o.o. | Pro zastupanje</w:t>
          </w:r>
        </w:p>
      </w:tc>
      <w:tc>
        <w:tcPr>
          <w:tcW w:w="2407" w:type="dxa"/>
        </w:tcPr>
        <w:p w14:paraId="6253C79F" w14:textId="77777777" w:rsidR="0078755A" w:rsidRPr="002A2ACD" w:rsidRDefault="0078755A" w:rsidP="0078755A">
          <w:pPr>
            <w:pStyle w:val="Footer"/>
            <w:jc w:val="right"/>
            <w:rPr>
              <w:rFonts w:ascii="Montserrat" w:hAnsi="Montserrat"/>
              <w:sz w:val="18"/>
              <w:szCs w:val="18"/>
            </w:rPr>
          </w:pPr>
          <w:r w:rsidRPr="002A2ACD">
            <w:rPr>
              <w:rFonts w:ascii="Montserrat" w:hAnsi="Montserrat"/>
              <w:sz w:val="18"/>
              <w:szCs w:val="18"/>
            </w:rPr>
            <w:t xml:space="preserve">Stranica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PAGE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4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  <w:r w:rsidRPr="002A2ACD">
            <w:rPr>
              <w:rFonts w:ascii="Montserrat" w:hAnsi="Montserrat"/>
              <w:sz w:val="18"/>
              <w:szCs w:val="18"/>
            </w:rPr>
            <w:t xml:space="preserve">od </w:t>
          </w:r>
          <w:r w:rsidRPr="002A2ACD">
            <w:rPr>
              <w:rFonts w:ascii="Montserrat" w:hAnsi="Montserrat"/>
              <w:sz w:val="18"/>
              <w:szCs w:val="18"/>
            </w:rPr>
            <w:fldChar w:fldCharType="begin"/>
          </w:r>
          <w:r w:rsidRPr="002A2ACD">
            <w:rPr>
              <w:rFonts w:ascii="Montserrat" w:hAnsi="Montserrat"/>
              <w:sz w:val="18"/>
              <w:szCs w:val="18"/>
            </w:rPr>
            <w:instrText xml:space="preserve"> NUMPAGES  \* MERGEFORMAT </w:instrText>
          </w:r>
          <w:r w:rsidRPr="002A2ACD">
            <w:rPr>
              <w:rFonts w:ascii="Montserrat" w:hAnsi="Montserrat"/>
              <w:sz w:val="18"/>
              <w:szCs w:val="18"/>
            </w:rPr>
            <w:fldChar w:fldCharType="separate"/>
          </w:r>
          <w:r>
            <w:rPr>
              <w:rFonts w:ascii="Montserrat" w:hAnsi="Montserrat"/>
              <w:sz w:val="18"/>
              <w:szCs w:val="18"/>
            </w:rPr>
            <w:t>5</w:t>
          </w:r>
          <w:r w:rsidRPr="002A2ACD">
            <w:rPr>
              <w:rFonts w:ascii="Montserrat" w:hAnsi="Montserrat"/>
              <w:sz w:val="18"/>
              <w:szCs w:val="18"/>
            </w:rPr>
            <w:fldChar w:fldCharType="end"/>
          </w:r>
        </w:p>
      </w:tc>
    </w:tr>
  </w:tbl>
  <w:p w14:paraId="71F3654D" w14:textId="77777777" w:rsidR="0078755A" w:rsidRPr="00E063D2" w:rsidRDefault="0078755A" w:rsidP="0078755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CDDA" w14:textId="77777777" w:rsidR="002B1413" w:rsidRDefault="002B1413" w:rsidP="0025725F">
      <w:r>
        <w:separator/>
      </w:r>
    </w:p>
  </w:footnote>
  <w:footnote w:type="continuationSeparator" w:id="0">
    <w:p w14:paraId="1EB9E51A" w14:textId="77777777" w:rsidR="002B1413" w:rsidRDefault="002B1413" w:rsidP="0025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7" w:type="dxa"/>
      <w:tblInd w:w="-15" w:type="dxa"/>
      <w:tblLayout w:type="fixed"/>
      <w:tblLook w:val="0000" w:firstRow="0" w:lastRow="0" w:firstColumn="0" w:lastColumn="0" w:noHBand="0" w:noVBand="0"/>
    </w:tblPr>
    <w:tblGrid>
      <w:gridCol w:w="3276"/>
      <w:gridCol w:w="3685"/>
      <w:gridCol w:w="2126"/>
    </w:tblGrid>
    <w:tr w:rsidR="0025725F" w:rsidRPr="00032956" w14:paraId="237450DB" w14:textId="77777777" w:rsidTr="0025725F">
      <w:trPr>
        <w:cantSplit/>
        <w:trHeight w:val="426"/>
      </w:trPr>
      <w:tc>
        <w:tcPr>
          <w:tcW w:w="3276" w:type="dxa"/>
          <w:vMerge w:val="restart"/>
          <w:vAlign w:val="center"/>
        </w:tcPr>
        <w:p w14:paraId="51EEACC0" w14:textId="77777777" w:rsidR="0025725F" w:rsidRPr="00567495" w:rsidRDefault="0025725F" w:rsidP="0025725F">
          <w:pPr>
            <w:rPr>
              <w:b/>
              <w:color w:val="FF0000"/>
            </w:rPr>
          </w:pPr>
          <w:r w:rsidRPr="00645211">
            <w:rPr>
              <w:b/>
              <w:noProof/>
              <w:color w:val="FF0000"/>
            </w:rPr>
            <w:drawing>
              <wp:inline distT="0" distB="0" distL="0" distR="0" wp14:anchorId="49EF1EB1" wp14:editId="757937E7">
                <wp:extent cx="1924215" cy="434247"/>
                <wp:effectExtent l="0" t="0" r="0" b="0"/>
                <wp:docPr id="625952896" name="Picture 1" descr="A 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952896" name="Picture 1" descr="A blue text on a white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025" cy="4364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Merge w:val="restart"/>
          <w:vAlign w:val="center"/>
        </w:tcPr>
        <w:p w14:paraId="4C661A9D" w14:textId="18174336" w:rsidR="0025725F" w:rsidRPr="00645211" w:rsidRDefault="0025725F" w:rsidP="0025725F">
          <w:pPr>
            <w:jc w:val="center"/>
            <w:rPr>
              <w:rFonts w:ascii="Montserrat" w:hAnsi="Montserrat"/>
              <w:b/>
              <w:iCs/>
              <w:sz w:val="32"/>
            </w:rPr>
          </w:pP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begin"/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instrText xml:space="preserve"> TITLE  \* MERGEFORMAT </w:instrTex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separate"/>
          </w:r>
          <w:r w:rsidRPr="0025725F">
            <w:rPr>
              <w:rFonts w:ascii="Montserrat" w:hAnsi="Montserrat"/>
              <w:b/>
              <w:iCs/>
              <w:color w:val="00405A"/>
              <w:sz w:val="16"/>
              <w:szCs w:val="11"/>
            </w:rPr>
            <w:t>Politika sigurnosti informacijskog sustava</w:t>
          </w:r>
          <w:r w:rsidRPr="00FD41F4">
            <w:rPr>
              <w:rFonts w:ascii="Montserrat" w:hAnsi="Montserrat"/>
              <w:b/>
              <w:iCs/>
              <w:color w:val="00405A"/>
              <w:sz w:val="18"/>
              <w:szCs w:val="13"/>
            </w:rPr>
            <w:fldChar w:fldCharType="end"/>
          </w:r>
        </w:p>
      </w:tc>
      <w:tc>
        <w:tcPr>
          <w:tcW w:w="2126" w:type="dxa"/>
          <w:tcBorders>
            <w:bottom w:val="single" w:sz="8" w:space="0" w:color="0070C0"/>
          </w:tcBorders>
          <w:vAlign w:val="center"/>
        </w:tcPr>
        <w:p w14:paraId="0417E336" w14:textId="48B448D7" w:rsidR="0025725F" w:rsidRPr="00A01CE4" w:rsidRDefault="0025725F" w:rsidP="0025725F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 xml:space="preserve">Oznaka dokumenta: 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instrText xml:space="preserve"> KEYWORDS  \* MERGEFORMAT </w:instrTex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bCs/>
              <w:sz w:val="16"/>
              <w:szCs w:val="16"/>
            </w:rPr>
            <w:t>FIN-ISMS-POL-001 v2.0</w:t>
          </w:r>
          <w:r w:rsidRPr="00645211">
            <w:rPr>
              <w:rFonts w:ascii="Montserrat" w:hAnsi="Montserrat"/>
              <w:b/>
              <w:bCs/>
              <w:sz w:val="16"/>
              <w:szCs w:val="16"/>
            </w:rPr>
            <w:fldChar w:fldCharType="end"/>
          </w:r>
        </w:p>
      </w:tc>
    </w:tr>
    <w:tr w:rsidR="0025725F" w:rsidRPr="00032956" w14:paraId="4B8841CB" w14:textId="77777777" w:rsidTr="0025725F">
      <w:trPr>
        <w:cantSplit/>
        <w:trHeight w:val="471"/>
      </w:trPr>
      <w:tc>
        <w:tcPr>
          <w:tcW w:w="3276" w:type="dxa"/>
          <w:vMerge/>
          <w:tcBorders>
            <w:bottom w:val="single" w:sz="8" w:space="0" w:color="0070C0"/>
          </w:tcBorders>
          <w:vAlign w:val="center"/>
        </w:tcPr>
        <w:p w14:paraId="404EAAEA" w14:textId="77777777" w:rsidR="0025725F" w:rsidRDefault="0025725F" w:rsidP="0025725F">
          <w:pPr>
            <w:jc w:val="center"/>
          </w:pPr>
        </w:p>
      </w:tc>
      <w:tc>
        <w:tcPr>
          <w:tcW w:w="3685" w:type="dxa"/>
          <w:vMerge/>
          <w:tcBorders>
            <w:bottom w:val="single" w:sz="8" w:space="0" w:color="0070C0"/>
          </w:tcBorders>
          <w:vAlign w:val="center"/>
        </w:tcPr>
        <w:p w14:paraId="24FFA62E" w14:textId="77777777" w:rsidR="0025725F" w:rsidRPr="00032956" w:rsidRDefault="0025725F" w:rsidP="0025725F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126" w:type="dxa"/>
          <w:tcBorders>
            <w:top w:val="single" w:sz="8" w:space="0" w:color="0070C0"/>
            <w:bottom w:val="single" w:sz="8" w:space="0" w:color="0070C0"/>
          </w:tcBorders>
          <w:vAlign w:val="center"/>
        </w:tcPr>
        <w:p w14:paraId="7E96FE03" w14:textId="77777777" w:rsidR="0025725F" w:rsidRPr="00645211" w:rsidRDefault="0025725F" w:rsidP="0025725F">
          <w:pPr>
            <w:jc w:val="center"/>
            <w:rPr>
              <w:rFonts w:ascii="Montserrat" w:hAnsi="Montserrat"/>
              <w:sz w:val="16"/>
              <w:szCs w:val="16"/>
            </w:rPr>
          </w:pPr>
          <w:r w:rsidRPr="00645211">
            <w:rPr>
              <w:rFonts w:ascii="Montserrat" w:hAnsi="Montserrat"/>
              <w:sz w:val="16"/>
              <w:szCs w:val="16"/>
            </w:rPr>
            <w:t>Izdanje / datum</w:t>
          </w:r>
        </w:p>
        <w:p w14:paraId="019BA7FD" w14:textId="7D2A8BD9" w:rsidR="0025725F" w:rsidRPr="00645211" w:rsidRDefault="0025725F" w:rsidP="0025725F">
          <w:pPr>
            <w:jc w:val="center"/>
            <w:rPr>
              <w:rFonts w:ascii="Montserrat" w:hAnsi="Montserrat"/>
              <w:b/>
              <w:sz w:val="16"/>
              <w:szCs w:val="16"/>
            </w:rPr>
          </w:pP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DOCPROPERTY Version \* MERGEFORMAT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>
            <w:rPr>
              <w:rFonts w:ascii="Montserrat" w:hAnsi="Montserrat"/>
              <w:b/>
              <w:sz w:val="16"/>
              <w:szCs w:val="16"/>
            </w:rPr>
            <w:t>v1.0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  <w:r w:rsidRPr="00645211">
            <w:rPr>
              <w:rFonts w:ascii="Montserrat" w:hAnsi="Montserrat"/>
              <w:b/>
              <w:sz w:val="16"/>
              <w:szCs w:val="16"/>
            </w:rPr>
            <w:t xml:space="preserve"> / </w:t>
          </w:r>
          <w:r w:rsidR="00274B8F">
            <w:rPr>
              <w:rFonts w:ascii="Montserrat" w:hAnsi="Montserrat"/>
              <w:b/>
              <w:sz w:val="16"/>
              <w:szCs w:val="16"/>
            </w:rPr>
            <w:t>15.7.2025.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begin"/>
          </w:r>
          <w:r w:rsidRPr="00645211">
            <w:rPr>
              <w:rFonts w:ascii="Montserrat" w:hAnsi="Montserrat"/>
              <w:b/>
              <w:sz w:val="16"/>
              <w:szCs w:val="16"/>
            </w:rPr>
            <w:instrText xml:space="preserve"> TIME \@ "dd.MM.yyyy" </w:instrTex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separate"/>
          </w:r>
          <w:r w:rsidR="00DC337D">
            <w:rPr>
              <w:rFonts w:ascii="Montserrat" w:hAnsi="Montserrat"/>
              <w:b/>
              <w:noProof/>
              <w:sz w:val="16"/>
              <w:szCs w:val="16"/>
            </w:rPr>
            <w:t>16.03.2026</w:t>
          </w:r>
          <w:r w:rsidRPr="00645211">
            <w:rPr>
              <w:rFonts w:ascii="Montserrat" w:hAnsi="Montserrat"/>
              <w:b/>
              <w:sz w:val="16"/>
              <w:szCs w:val="16"/>
            </w:rPr>
            <w:fldChar w:fldCharType="end"/>
          </w:r>
        </w:p>
      </w:tc>
    </w:tr>
  </w:tbl>
  <w:p w14:paraId="1AD52A35" w14:textId="77777777" w:rsidR="0025725F" w:rsidRDefault="00257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528B"/>
    <w:multiLevelType w:val="hybridMultilevel"/>
    <w:tmpl w:val="84B6B238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7857A5"/>
    <w:multiLevelType w:val="hybridMultilevel"/>
    <w:tmpl w:val="4AF06670"/>
    <w:lvl w:ilvl="0" w:tplc="3EC468D8">
      <w:start w:val="1"/>
      <w:numFmt w:val="bullet"/>
      <w:lvlText w:val="●"/>
      <w:lvlJc w:val="left"/>
      <w:pPr>
        <w:ind w:left="720" w:hanging="360"/>
      </w:pPr>
    </w:lvl>
    <w:lvl w:ilvl="1" w:tplc="C06807A8">
      <w:start w:val="1"/>
      <w:numFmt w:val="bullet"/>
      <w:lvlText w:val="○"/>
      <w:lvlJc w:val="left"/>
      <w:pPr>
        <w:ind w:left="1440" w:hanging="360"/>
      </w:pPr>
    </w:lvl>
    <w:lvl w:ilvl="2" w:tplc="248C8D72">
      <w:start w:val="1"/>
      <w:numFmt w:val="bullet"/>
      <w:lvlText w:val="■"/>
      <w:lvlJc w:val="left"/>
      <w:pPr>
        <w:ind w:left="2160" w:hanging="360"/>
      </w:pPr>
    </w:lvl>
    <w:lvl w:ilvl="3" w:tplc="FB686692">
      <w:start w:val="1"/>
      <w:numFmt w:val="bullet"/>
      <w:lvlText w:val="●"/>
      <w:lvlJc w:val="left"/>
      <w:pPr>
        <w:ind w:left="2880" w:hanging="360"/>
      </w:pPr>
    </w:lvl>
    <w:lvl w:ilvl="4" w:tplc="67C69956">
      <w:start w:val="1"/>
      <w:numFmt w:val="bullet"/>
      <w:lvlText w:val="○"/>
      <w:lvlJc w:val="left"/>
      <w:pPr>
        <w:ind w:left="3600" w:hanging="360"/>
      </w:pPr>
    </w:lvl>
    <w:lvl w:ilvl="5" w:tplc="1862C85E">
      <w:start w:val="1"/>
      <w:numFmt w:val="bullet"/>
      <w:lvlText w:val="■"/>
      <w:lvlJc w:val="left"/>
      <w:pPr>
        <w:ind w:left="4320" w:hanging="360"/>
      </w:pPr>
    </w:lvl>
    <w:lvl w:ilvl="6" w:tplc="3E8E5C5C">
      <w:start w:val="1"/>
      <w:numFmt w:val="bullet"/>
      <w:lvlText w:val="●"/>
      <w:lvlJc w:val="left"/>
      <w:pPr>
        <w:ind w:left="5040" w:hanging="360"/>
      </w:pPr>
    </w:lvl>
    <w:lvl w:ilvl="7" w:tplc="9F6EC390">
      <w:start w:val="1"/>
      <w:numFmt w:val="bullet"/>
      <w:lvlText w:val="●"/>
      <w:lvlJc w:val="left"/>
      <w:pPr>
        <w:ind w:left="5760" w:hanging="360"/>
      </w:pPr>
    </w:lvl>
    <w:lvl w:ilvl="8" w:tplc="F492201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5B10A91"/>
    <w:multiLevelType w:val="hybridMultilevel"/>
    <w:tmpl w:val="E7F2B75E"/>
    <w:lvl w:ilvl="0" w:tplc="442EF1A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FFFFFFFF">
      <w:start w:val="1"/>
      <w:numFmt w:val="bullet"/>
      <w:lvlText w:val="–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68619B"/>
    <w:multiLevelType w:val="hybridMultilevel"/>
    <w:tmpl w:val="82821896"/>
    <w:lvl w:ilvl="0" w:tplc="908E25C2">
      <w:start w:val="1"/>
      <w:numFmt w:val="bullet"/>
      <w:lvlText w:val="•"/>
      <w:lvlJc w:val="left"/>
      <w:pPr>
        <w:ind w:left="720" w:hanging="360"/>
      </w:pPr>
    </w:lvl>
    <w:lvl w:ilvl="1" w:tplc="D974E9F0">
      <w:start w:val="1"/>
      <w:numFmt w:val="bullet"/>
      <w:lvlText w:val="–"/>
      <w:lvlJc w:val="left"/>
      <w:pPr>
        <w:ind w:left="1080" w:hanging="360"/>
      </w:pPr>
    </w:lvl>
    <w:lvl w:ilvl="2" w:tplc="584CC0A8">
      <w:numFmt w:val="decimal"/>
      <w:lvlText w:val=""/>
      <w:lvlJc w:val="left"/>
    </w:lvl>
    <w:lvl w:ilvl="3" w:tplc="8794C30C">
      <w:numFmt w:val="decimal"/>
      <w:lvlText w:val=""/>
      <w:lvlJc w:val="left"/>
    </w:lvl>
    <w:lvl w:ilvl="4" w:tplc="4A6A1ED8">
      <w:numFmt w:val="decimal"/>
      <w:lvlText w:val=""/>
      <w:lvlJc w:val="left"/>
    </w:lvl>
    <w:lvl w:ilvl="5" w:tplc="C5EEE4BA">
      <w:numFmt w:val="decimal"/>
      <w:lvlText w:val=""/>
      <w:lvlJc w:val="left"/>
    </w:lvl>
    <w:lvl w:ilvl="6" w:tplc="58A05F74">
      <w:numFmt w:val="decimal"/>
      <w:lvlText w:val=""/>
      <w:lvlJc w:val="left"/>
    </w:lvl>
    <w:lvl w:ilvl="7" w:tplc="610C9DF0">
      <w:numFmt w:val="decimal"/>
      <w:lvlText w:val=""/>
      <w:lvlJc w:val="left"/>
    </w:lvl>
    <w:lvl w:ilvl="8" w:tplc="B09858BC">
      <w:numFmt w:val="decimal"/>
      <w:lvlText w:val=""/>
      <w:lvlJc w:val="left"/>
    </w:lvl>
  </w:abstractNum>
  <w:abstractNum w:abstractNumId="4" w15:restartNumberingAfterBreak="0">
    <w:nsid w:val="7A072739"/>
    <w:multiLevelType w:val="multilevel"/>
    <w:tmpl w:val="08A2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0348952">
    <w:abstractNumId w:val="1"/>
    <w:lvlOverride w:ilvl="0">
      <w:startOverride w:val="1"/>
    </w:lvlOverride>
  </w:num>
  <w:num w:numId="2" w16cid:durableId="354036049">
    <w:abstractNumId w:val="3"/>
    <w:lvlOverride w:ilvl="0">
      <w:startOverride w:val="1"/>
    </w:lvlOverride>
  </w:num>
  <w:num w:numId="3" w16cid:durableId="1289169396">
    <w:abstractNumId w:val="3"/>
  </w:num>
  <w:num w:numId="4" w16cid:durableId="1522547126">
    <w:abstractNumId w:val="0"/>
  </w:num>
  <w:num w:numId="5" w16cid:durableId="23365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BA"/>
    <w:rsid w:val="00054A35"/>
    <w:rsid w:val="0025725F"/>
    <w:rsid w:val="00274B8F"/>
    <w:rsid w:val="002B1413"/>
    <w:rsid w:val="00375743"/>
    <w:rsid w:val="004F6CF1"/>
    <w:rsid w:val="00733BBA"/>
    <w:rsid w:val="0078755A"/>
    <w:rsid w:val="009D4B21"/>
    <w:rsid w:val="00D0469B"/>
    <w:rsid w:val="00DC337D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CF095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autoRedefine/>
    <w:uiPriority w:val="9"/>
    <w:qFormat/>
    <w:rsid w:val="0025725F"/>
    <w:pPr>
      <w:keepNext/>
      <w:keepLines/>
      <w:pBdr>
        <w:bottom w:val="single" w:sz="8" w:space="1" w:color="00405A"/>
      </w:pBdr>
      <w:spacing w:before="480" w:after="120" w:line="276" w:lineRule="auto"/>
      <w:ind w:left="431" w:hanging="431"/>
      <w:outlineLvl w:val="0"/>
    </w:pPr>
    <w:rPr>
      <w:rFonts w:ascii="Montserrat" w:eastAsia="Times New Roman" w:hAnsi="Montserrat" w:cstheme="minorBidi"/>
      <w:b/>
      <w:bCs/>
      <w:smallCaps/>
      <w:color w:val="00405A"/>
      <w:kern w:val="2"/>
      <w:sz w:val="28"/>
      <w:szCs w:val="32"/>
      <w14:ligatures w14:val="standardContextual"/>
    </w:rPr>
  </w:style>
  <w:style w:type="paragraph" w:styleId="Heading2">
    <w:name w:val="heading 2"/>
    <w:autoRedefine/>
    <w:uiPriority w:val="9"/>
    <w:unhideWhenUsed/>
    <w:qFormat/>
    <w:rsid w:val="0025725F"/>
    <w:pPr>
      <w:spacing w:before="120" w:after="120"/>
      <w:outlineLvl w:val="1"/>
    </w:pPr>
    <w:rPr>
      <w:rFonts w:ascii="Montserrat" w:hAnsi="Montserrat"/>
      <w:b/>
      <w:bCs/>
      <w:color w:val="1A3A5C"/>
      <w:sz w:val="24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7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25F"/>
  </w:style>
  <w:style w:type="paragraph" w:styleId="Footer">
    <w:name w:val="footer"/>
    <w:basedOn w:val="Normal"/>
    <w:link w:val="FooterChar"/>
    <w:uiPriority w:val="99"/>
    <w:unhideWhenUsed/>
    <w:rsid w:val="00257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25F"/>
  </w:style>
  <w:style w:type="character" w:customStyle="1" w:styleId="Heading1Char">
    <w:name w:val="Heading 1 Char"/>
    <w:link w:val="Heading1"/>
    <w:uiPriority w:val="9"/>
    <w:rsid w:val="0025725F"/>
    <w:rPr>
      <w:rFonts w:ascii="Montserrat" w:eastAsia="Times New Roman" w:hAnsi="Montserrat" w:cstheme="minorBidi"/>
      <w:b/>
      <w:bCs/>
      <w:smallCaps/>
      <w:color w:val="00405A"/>
      <w:kern w:val="2"/>
      <w:sz w:val="28"/>
      <w:szCs w:val="32"/>
      <w14:ligatures w14:val="standardContextual"/>
    </w:rPr>
  </w:style>
  <w:style w:type="table" w:styleId="TableGrid">
    <w:name w:val="Table Grid"/>
    <w:basedOn w:val="TableNormal"/>
    <w:uiPriority w:val="39"/>
    <w:rsid w:val="0025725F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745</Words>
  <Characters>5432</Characters>
  <Application>Microsoft Office Word</Application>
  <DocSecurity>0</DocSecurity>
  <Lines>146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Politika sigurnosti informacijskog sustava</vt:lpstr>
    </vt:vector>
  </TitlesOfParts>
  <Manager/>
  <Company>AP</Company>
  <LinksUpToDate>false</LinksUpToDate>
  <CharactersWithSpaces>6078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Politika sigurnosti informacijskog sustava</dc:title>
  <dc:subject/>
  <dc:creator>Daniel Bara</dc:creator>
  <cp:keywords>FIN-ISMS-POL-001 v2.0</cp:keywords>
  <dc:description/>
  <cp:lastModifiedBy>Daniel Bara</cp:lastModifiedBy>
  <cp:revision>6</cp:revision>
  <dcterms:created xsi:type="dcterms:W3CDTF">2026-03-16T06:27:00Z</dcterms:created>
  <dcterms:modified xsi:type="dcterms:W3CDTF">2026-03-16T15:59:00Z</dcterms:modified>
  <cp:category/>
</cp:coreProperties>
</file>